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bookmarkStart w:id="0" w:name="_Hlk536535965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“一厂多租（厂中厂）”</w:t>
      </w:r>
      <w:r>
        <w:rPr>
          <w:rFonts w:hint="eastAsia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部门责任清单</w:t>
      </w:r>
    </w:p>
    <w:tbl>
      <w:tblPr>
        <w:tblStyle w:val="12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412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58" w:type="dxa"/>
            <w:noWrap w:val="0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 w:ascii="CESI黑体-GB2312" w:hAnsi="CESI黑体-GB2312" w:eastAsia="CESI黑体-GB2312" w:cs="CESI黑体-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 w:ascii="CESI黑体-GB2312" w:hAnsi="CESI黑体-GB2312" w:eastAsia="CESI黑体-GB2312" w:cs="CESI黑体-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牵头部门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pStyle w:val="2"/>
              <w:spacing w:line="480" w:lineRule="auto"/>
              <w:jc w:val="center"/>
              <w:rPr>
                <w:rFonts w:hint="default" w:ascii="CESI黑体-GB2312" w:hAnsi="CESI黑体-GB2312" w:eastAsia="CESI黑体-GB2312" w:cs="CESI黑体-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应急管理部门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1.取缔关停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“一厂多租（厂中厂）”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中涉及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将厂房出租给未经审批的危险化学品生产企业。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2.负责查处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厂房的租赁对象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符合安全生产“三同时”条件（安全设施与主体工程同时设计、同时施工、同时投入生产和使用）的企业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已经消除其他重大安全隐患的企业。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3.检查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出租单位与承租单位之间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签订专门的安全生产管理协议，明确并履行好各自的安全生产管理职责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指定专职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进行安全检查与协调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建立生产安全事故隐患排查治理制度，并向从业人员通报事故隐患排查治理情况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制定生产安全事故应急救援预案，并定期组织协同演练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出租单位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对承租单位的安全生产工作进行统一、协调管理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经济和信息化部门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1.牵头组织开展园区内无证无照、无合法场所、无安全保障、无环保措施的“四无”企业的检查和处置。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2.检查工业园区、小微企业园是否明确园区管理主体，是否明确具体负责安全生产管理的机构”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自然资源部门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1.负责核实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“一厂多租（厂中厂）”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中问题企业是否依法办理土地合法手续。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2.负责核实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“一厂多租（厂中厂）”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中问题企业是否依法办理规划许可手续。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生态环境部门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1.依法查处承租单位采用规避监管方式等手段违法排放污染物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2.检查建设项目中防治污染的设施，是否与主体工程同时设计、同时施工、同时投产使用；防治污染的设施是否符合经批准的环境影响评价文件的要求；防治污染的设施是否擅自拆除或者闲置。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负责查处所出租的厂房内的建设工程设计是否委托有资质单位设计；建设工程质量是否经过有资质的检测机构检测；为建设工程提供机械设备和配件的单位，是否按照安全施工的要求配备齐全有效的保险、限位等安全设施和装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检查施工现场安装、拆卸施工起重机械和整体提升脚手架、模板等自升式架设设施，是否由具有相应资质的单位承担；施工单位是否在施工现场入口处、施工起重机械、临时用电设施、脚手架、出入通道口、基坑边沿、有毒有害气体存放处等危险部位，设置明显的安全警示标志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3.检查建设工程是否经过消防设计审查；建设工程竣工后，是否经过消防验收。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市场监管部门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1.负责查处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厂房的租赁对象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持有营业执照的生产经营单位或个人。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2.检查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厂房的租赁对象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使用检测检验合格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特种设备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重要工业产品生产是否经过许可。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消防救援机构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64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1.依法取缔关停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“一厂多租（厂中厂）”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中存在严重消防隐患且整改不到位的厂房。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64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2.依法查处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“一厂多租（厂中厂）”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中生产、储存、经营其他物品的场所与居住场所设置在同一建筑物内的，是否符合国家工程建设消防技术标准。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="64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.检查是否落实消防安全责任制，建立本单位的消防安全规章制度，定期排查治理火灾隐患；是否制定灭火和应急疏散预案并定期演练；是否按照国家标准、行业标准配置消防设施、器材，设置安全标志，并定期组织检验、维修；是否对建筑消防设施每年至少进行一次全面检测；是否保障疏散通道、安全出口、消防车通道畅通，保证防火防烟分区、防火间距符合消防技术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准。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违规使用易燃可燃夹芯板、违规改变厂房使用性质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bookmarkEnd w:id="0"/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0"/>
    <w:rsid w:val="000C21DE"/>
    <w:rsid w:val="00352F76"/>
    <w:rsid w:val="00392780"/>
    <w:rsid w:val="006B6CEC"/>
    <w:rsid w:val="00703A1D"/>
    <w:rsid w:val="00790C27"/>
    <w:rsid w:val="009548BD"/>
    <w:rsid w:val="00A13177"/>
    <w:rsid w:val="00AB277B"/>
    <w:rsid w:val="00BC4B5D"/>
    <w:rsid w:val="00E76956"/>
    <w:rsid w:val="0EBC42DD"/>
    <w:rsid w:val="2D365E2F"/>
    <w:rsid w:val="366F0040"/>
    <w:rsid w:val="37FD2355"/>
    <w:rsid w:val="3FBF27BD"/>
    <w:rsid w:val="3FDBAB12"/>
    <w:rsid w:val="3FDFC813"/>
    <w:rsid w:val="3FF225FC"/>
    <w:rsid w:val="51E2B25F"/>
    <w:rsid w:val="5D9F9D50"/>
    <w:rsid w:val="5F3F2C62"/>
    <w:rsid w:val="5FBFB9F1"/>
    <w:rsid w:val="67BD73E2"/>
    <w:rsid w:val="6FBF5B67"/>
    <w:rsid w:val="700861FC"/>
    <w:rsid w:val="70ADDDC7"/>
    <w:rsid w:val="77A6C959"/>
    <w:rsid w:val="77CF5B72"/>
    <w:rsid w:val="77FEB4F2"/>
    <w:rsid w:val="7BEABA65"/>
    <w:rsid w:val="7ED73E44"/>
    <w:rsid w:val="7EDF64F1"/>
    <w:rsid w:val="7F3D17AF"/>
    <w:rsid w:val="7F6FD485"/>
    <w:rsid w:val="7FC70E65"/>
    <w:rsid w:val="9CFB2487"/>
    <w:rsid w:val="9FB67554"/>
    <w:rsid w:val="A3EE7AA1"/>
    <w:rsid w:val="B3BE80E9"/>
    <w:rsid w:val="B897B25F"/>
    <w:rsid w:val="BBEDA752"/>
    <w:rsid w:val="BF377217"/>
    <w:rsid w:val="C7D37F68"/>
    <w:rsid w:val="DDE74557"/>
    <w:rsid w:val="DFAF221F"/>
    <w:rsid w:val="E5D7F9C4"/>
    <w:rsid w:val="E7F44079"/>
    <w:rsid w:val="F5ED163D"/>
    <w:rsid w:val="F9C5BD1F"/>
    <w:rsid w:val="FA575788"/>
    <w:rsid w:val="FA6F0A5D"/>
    <w:rsid w:val="FBD7C564"/>
    <w:rsid w:val="FBFFEBEF"/>
    <w:rsid w:val="FDBF0EA2"/>
    <w:rsid w:val="FDCD3732"/>
    <w:rsid w:val="FDDE44C5"/>
    <w:rsid w:val="FEA3FFBB"/>
    <w:rsid w:val="FF5F4752"/>
    <w:rsid w:val="FFEDA3E5"/>
    <w:rsid w:val="FFF37F52"/>
    <w:rsid w:val="FFFFB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unhideWhenUsed/>
    <w:uiPriority w:val="99"/>
    <w:pPr>
      <w:spacing w:after="120"/>
    </w:pPr>
    <w:rPr>
      <w:rFonts w:ascii="Times New Roman" w:hAnsi="Times New Roman" w:eastAsia="仿宋_GB2312" w:cs="Times New Roman"/>
    </w:rPr>
  </w:style>
  <w:style w:type="paragraph" w:styleId="5">
    <w:name w:val="Body Text First Indent"/>
    <w:basedOn w:val="4"/>
    <w:next w:val="1"/>
    <w:unhideWhenUsed/>
    <w:uiPriority w:val="99"/>
    <w:pPr>
      <w:ind w:firstLine="420" w:firstLineChars="1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6">
    <w:name w:val="Body Text Indent"/>
    <w:basedOn w:val="1"/>
    <w:next w:val="3"/>
    <w:unhideWhenUsed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1"/>
    <w:unhideWhenUsed/>
    <w:uiPriority w:val="99"/>
    <w:pPr>
      <w:spacing w:after="0"/>
      <w:ind w:firstLine="420" w:firstLineChars="200"/>
    </w:pPr>
  </w:style>
  <w:style w:type="table" w:styleId="12">
    <w:name w:val="Table Grid"/>
    <w:basedOn w:val="11"/>
    <w:uiPriority w:val="3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unhideWhenUsed/>
    <w:uiPriority w:val="0"/>
    <w:rPr>
      <w:rFonts w:ascii="等线" w:hAnsi="等线" w:eastAsia="等线" w:cs="Times New Roman"/>
    </w:rPr>
  </w:style>
  <w:style w:type="character" w:customStyle="1" w:styleId="16">
    <w:name w:val="页脚 字符"/>
    <w:link w:val="7"/>
    <w:uiPriority w:val="0"/>
    <w:rPr>
      <w:rFonts w:ascii="等线" w:hAnsi="等线" w:eastAsia="等线" w:cs="Times New Roman"/>
      <w:sz w:val="18"/>
    </w:rPr>
  </w:style>
  <w:style w:type="character" w:customStyle="1" w:styleId="17">
    <w:name w:val="页眉 字符"/>
    <w:link w:val="8"/>
    <w:uiPriority w:val="99"/>
    <w:rPr>
      <w:rFonts w:ascii="等线" w:hAnsi="等线" w:eastAsia="等线" w:cs="Times New Roman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16.6666666666667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2023-04-27T03:22:00Z</dcterms:created>
  <dc:creator>user</dc:creator>
  <cp:lastModifiedBy>蒋梦捷</cp:lastModifiedBy>
  <cp:lastPrinted>2023-04-27T01:26:32Z</cp:lastPrinted>
  <dcterms:modified xsi:type="dcterms:W3CDTF">2023-04-27T10:03:36Z</dcterms:modified>
  <dc:title>杭州市安全生产委员会文件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