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eastAsia" w:ascii="黑体" w:hAnsi="黑体" w:eastAsia="黑体"/>
          <w:color w:val="FF0000"/>
          <w:sz w:val="36"/>
          <w:szCs w:val="36"/>
          <w:highlight w:val="yellow"/>
        </w:rPr>
      </w:pPr>
      <w:r>
        <w:rPr>
          <w:rFonts w:hint="eastAsia" w:ascii="黑体" w:hAnsi="黑体" w:eastAsia="黑体"/>
          <w:sz w:val="32"/>
          <w:szCs w:val="32"/>
        </w:rPr>
        <w:t xml:space="preserve">附件   </w:t>
      </w:r>
    </w:p>
    <w:tbl>
      <w:tblPr>
        <w:tblStyle w:val="2"/>
        <w:tblW w:w="0" w:type="auto"/>
        <w:jc w:val="center"/>
        <w:tblLayout w:type="fixed"/>
        <w:tblCellMar>
          <w:top w:w="0" w:type="dxa"/>
          <w:left w:w="108" w:type="dxa"/>
          <w:bottom w:w="0" w:type="dxa"/>
          <w:right w:w="108" w:type="dxa"/>
        </w:tblCellMar>
      </w:tblPr>
      <w:tblGrid>
        <w:gridCol w:w="1230"/>
        <w:gridCol w:w="916"/>
        <w:gridCol w:w="1994"/>
        <w:gridCol w:w="1130"/>
        <w:gridCol w:w="769"/>
        <w:gridCol w:w="1492"/>
        <w:gridCol w:w="1470"/>
      </w:tblGrid>
      <w:tr>
        <w:tblPrEx>
          <w:tblCellMar>
            <w:top w:w="0" w:type="dxa"/>
            <w:left w:w="108" w:type="dxa"/>
            <w:bottom w:w="0" w:type="dxa"/>
            <w:right w:w="108" w:type="dxa"/>
          </w:tblCellMar>
        </w:tblPrEx>
        <w:trPr>
          <w:trHeight w:val="602" w:hRule="atLeast"/>
          <w:jc w:val="center"/>
        </w:trPr>
        <w:tc>
          <w:tcPr>
            <w:tcW w:w="9001" w:type="dxa"/>
            <w:gridSpan w:val="7"/>
            <w:vMerge w:val="restart"/>
            <w:noWrap w:val="0"/>
            <w:vAlign w:val="center"/>
          </w:tcPr>
          <w:p>
            <w:pPr>
              <w:widowControl/>
              <w:spacing w:line="460" w:lineRule="exact"/>
              <w:jc w:val="center"/>
              <w:rPr>
                <w:rFonts w:ascii="黑体" w:hAnsi="黑体" w:eastAsia="黑体" w:cs="宋体"/>
                <w:color w:val="000000"/>
                <w:kern w:val="0"/>
                <w:sz w:val="32"/>
                <w:szCs w:val="32"/>
              </w:rPr>
            </w:pPr>
            <w:r>
              <w:rPr>
                <w:rFonts w:hint="eastAsia" w:ascii="黑体" w:hAnsi="黑体" w:eastAsia="黑体" w:cs="宋体"/>
                <w:color w:val="000000"/>
                <w:kern w:val="0"/>
                <w:sz w:val="36"/>
                <w:szCs w:val="32"/>
              </w:rPr>
              <w:t>2020年杭州市彩票公益金资助防灾减灾项目</w:t>
            </w:r>
            <w:r>
              <w:rPr>
                <w:rFonts w:hint="eastAsia" w:ascii="黑体" w:hAnsi="黑体" w:eastAsia="黑体" w:cs="宋体"/>
                <w:color w:val="000000"/>
                <w:kern w:val="0"/>
                <w:sz w:val="36"/>
                <w:szCs w:val="32"/>
              </w:rPr>
              <w:br w:type="textWrapping"/>
            </w:r>
            <w:r>
              <w:rPr>
                <w:rFonts w:hint="eastAsia" w:ascii="黑体" w:hAnsi="黑体" w:eastAsia="黑体" w:cs="宋体"/>
                <w:color w:val="000000"/>
                <w:kern w:val="0"/>
                <w:sz w:val="36"/>
                <w:szCs w:val="32"/>
              </w:rPr>
              <w:t>建设补助资金分配表</w:t>
            </w:r>
          </w:p>
        </w:tc>
      </w:tr>
      <w:tr>
        <w:tblPrEx>
          <w:tblCellMar>
            <w:top w:w="0" w:type="dxa"/>
            <w:left w:w="108" w:type="dxa"/>
            <w:bottom w:w="0" w:type="dxa"/>
            <w:right w:w="108" w:type="dxa"/>
          </w:tblCellMar>
        </w:tblPrEx>
        <w:trPr>
          <w:trHeight w:val="602" w:hRule="atLeast"/>
          <w:jc w:val="center"/>
        </w:trPr>
        <w:tc>
          <w:tcPr>
            <w:tcW w:w="25888" w:type="dxa"/>
            <w:gridSpan w:val="7"/>
            <w:vMerge w:val="continue"/>
            <w:noWrap w:val="0"/>
            <w:vAlign w:val="center"/>
          </w:tcPr>
          <w:p>
            <w:pPr>
              <w:widowControl/>
              <w:jc w:val="left"/>
              <w:rPr>
                <w:rFonts w:ascii="宋体" w:hAnsi="宋体" w:cs="宋体"/>
                <w:color w:val="000000"/>
                <w:kern w:val="0"/>
                <w:sz w:val="32"/>
                <w:szCs w:val="32"/>
              </w:rPr>
            </w:pPr>
          </w:p>
        </w:tc>
      </w:tr>
      <w:tr>
        <w:tblPrEx>
          <w:tblCellMar>
            <w:top w:w="0" w:type="dxa"/>
            <w:left w:w="108" w:type="dxa"/>
            <w:bottom w:w="0" w:type="dxa"/>
            <w:right w:w="108" w:type="dxa"/>
          </w:tblCellMar>
        </w:tblPrEx>
        <w:trPr>
          <w:trHeight w:val="489" w:hRule="atLeast"/>
          <w:jc w:val="center"/>
        </w:trPr>
        <w:tc>
          <w:tcPr>
            <w:tcW w:w="123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区县（市）</w:t>
            </w:r>
          </w:p>
        </w:tc>
        <w:tc>
          <w:tcPr>
            <w:tcW w:w="2910" w:type="dxa"/>
            <w:gridSpan w:val="2"/>
            <w:tcBorders>
              <w:top w:val="single" w:color="auto" w:sz="4" w:space="0"/>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避灾安置场所（个、万元）</w:t>
            </w:r>
          </w:p>
        </w:tc>
        <w:tc>
          <w:tcPr>
            <w:tcW w:w="3391" w:type="dxa"/>
            <w:gridSpan w:val="3"/>
            <w:tcBorders>
              <w:top w:val="single" w:color="auto" w:sz="4" w:space="0"/>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综合减灾示范社区（个、万元）</w:t>
            </w:r>
          </w:p>
        </w:tc>
        <w:tc>
          <w:tcPr>
            <w:tcW w:w="147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补助金额</w:t>
            </w:r>
          </w:p>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合计（万元）</w:t>
            </w:r>
          </w:p>
        </w:tc>
      </w:tr>
      <w:tr>
        <w:tblPrEx>
          <w:tblCellMar>
            <w:top w:w="0" w:type="dxa"/>
            <w:left w:w="108" w:type="dxa"/>
            <w:bottom w:w="0" w:type="dxa"/>
            <w:right w:w="108" w:type="dxa"/>
          </w:tblCellMar>
        </w:tblPrEx>
        <w:trPr>
          <w:trHeight w:val="441" w:hRule="atLeast"/>
          <w:jc w:val="center"/>
        </w:trPr>
        <w:tc>
          <w:tcPr>
            <w:tcW w:w="90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4"/>
                <w:szCs w:val="24"/>
              </w:rPr>
            </w:pPr>
          </w:p>
        </w:tc>
        <w:tc>
          <w:tcPr>
            <w:tcW w:w="916"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数量</w:t>
            </w:r>
          </w:p>
        </w:tc>
        <w:tc>
          <w:tcPr>
            <w:tcW w:w="1994"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补助金额</w:t>
            </w:r>
          </w:p>
        </w:tc>
        <w:tc>
          <w:tcPr>
            <w:tcW w:w="1130"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国家级</w:t>
            </w:r>
          </w:p>
        </w:tc>
        <w:tc>
          <w:tcPr>
            <w:tcW w:w="769"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省级</w:t>
            </w:r>
          </w:p>
        </w:tc>
        <w:tc>
          <w:tcPr>
            <w:tcW w:w="1492"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补助金额</w:t>
            </w:r>
          </w:p>
        </w:tc>
        <w:tc>
          <w:tcPr>
            <w:tcW w:w="14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color w:val="000000"/>
                <w:kern w:val="0"/>
                <w:sz w:val="24"/>
                <w:szCs w:val="24"/>
              </w:rPr>
            </w:pPr>
          </w:p>
        </w:tc>
      </w:tr>
      <w:tr>
        <w:tblPrEx>
          <w:tblCellMar>
            <w:top w:w="0" w:type="dxa"/>
            <w:left w:w="108" w:type="dxa"/>
            <w:bottom w:w="0" w:type="dxa"/>
            <w:right w:w="108" w:type="dxa"/>
          </w:tblCellMar>
        </w:tblPrEx>
        <w:trPr>
          <w:trHeight w:val="399" w:hRule="atLeast"/>
          <w:jc w:val="center"/>
        </w:trPr>
        <w:tc>
          <w:tcPr>
            <w:tcW w:w="1230" w:type="dxa"/>
            <w:tcBorders>
              <w:top w:val="nil"/>
              <w:left w:val="single" w:color="auto" w:sz="4" w:space="0"/>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上城区</w:t>
            </w:r>
          </w:p>
        </w:tc>
        <w:tc>
          <w:tcPr>
            <w:tcW w:w="916"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　</w:t>
            </w:r>
          </w:p>
        </w:tc>
        <w:tc>
          <w:tcPr>
            <w:tcW w:w="1994"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　</w:t>
            </w:r>
          </w:p>
        </w:tc>
        <w:tc>
          <w:tcPr>
            <w:tcW w:w="1130"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1</w:t>
            </w:r>
          </w:p>
        </w:tc>
        <w:tc>
          <w:tcPr>
            <w:tcW w:w="769"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　</w:t>
            </w:r>
          </w:p>
        </w:tc>
        <w:tc>
          <w:tcPr>
            <w:tcW w:w="1492"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2</w:t>
            </w:r>
          </w:p>
        </w:tc>
        <w:tc>
          <w:tcPr>
            <w:tcW w:w="1470"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2</w:t>
            </w:r>
          </w:p>
        </w:tc>
      </w:tr>
      <w:tr>
        <w:tblPrEx>
          <w:tblCellMar>
            <w:top w:w="0" w:type="dxa"/>
            <w:left w:w="108" w:type="dxa"/>
            <w:bottom w:w="0" w:type="dxa"/>
            <w:right w:w="108" w:type="dxa"/>
          </w:tblCellMar>
        </w:tblPrEx>
        <w:trPr>
          <w:trHeight w:val="399" w:hRule="atLeast"/>
          <w:jc w:val="center"/>
        </w:trPr>
        <w:tc>
          <w:tcPr>
            <w:tcW w:w="1230" w:type="dxa"/>
            <w:tcBorders>
              <w:top w:val="nil"/>
              <w:left w:val="single" w:color="auto" w:sz="4" w:space="0"/>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下城区</w:t>
            </w:r>
          </w:p>
        </w:tc>
        <w:tc>
          <w:tcPr>
            <w:tcW w:w="916"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5</w:t>
            </w:r>
          </w:p>
        </w:tc>
        <w:tc>
          <w:tcPr>
            <w:tcW w:w="1994"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6.94</w:t>
            </w:r>
          </w:p>
        </w:tc>
        <w:tc>
          <w:tcPr>
            <w:tcW w:w="1130"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　</w:t>
            </w:r>
          </w:p>
        </w:tc>
        <w:tc>
          <w:tcPr>
            <w:tcW w:w="769"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1</w:t>
            </w:r>
          </w:p>
        </w:tc>
        <w:tc>
          <w:tcPr>
            <w:tcW w:w="1492"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1</w:t>
            </w:r>
          </w:p>
        </w:tc>
        <w:tc>
          <w:tcPr>
            <w:tcW w:w="1470"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7.94</w:t>
            </w:r>
          </w:p>
        </w:tc>
      </w:tr>
      <w:tr>
        <w:tblPrEx>
          <w:tblCellMar>
            <w:top w:w="0" w:type="dxa"/>
            <w:left w:w="108" w:type="dxa"/>
            <w:bottom w:w="0" w:type="dxa"/>
            <w:right w:w="108" w:type="dxa"/>
          </w:tblCellMar>
        </w:tblPrEx>
        <w:trPr>
          <w:trHeight w:val="399" w:hRule="atLeast"/>
          <w:jc w:val="center"/>
        </w:trPr>
        <w:tc>
          <w:tcPr>
            <w:tcW w:w="1230" w:type="dxa"/>
            <w:tcBorders>
              <w:top w:val="nil"/>
              <w:left w:val="single" w:color="auto" w:sz="4" w:space="0"/>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江干区</w:t>
            </w:r>
          </w:p>
        </w:tc>
        <w:tc>
          <w:tcPr>
            <w:tcW w:w="916"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5</w:t>
            </w:r>
          </w:p>
        </w:tc>
        <w:tc>
          <w:tcPr>
            <w:tcW w:w="1994"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4.24</w:t>
            </w:r>
          </w:p>
        </w:tc>
        <w:tc>
          <w:tcPr>
            <w:tcW w:w="1130"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1</w:t>
            </w:r>
          </w:p>
        </w:tc>
        <w:tc>
          <w:tcPr>
            <w:tcW w:w="769"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2</w:t>
            </w:r>
          </w:p>
        </w:tc>
        <w:tc>
          <w:tcPr>
            <w:tcW w:w="1492"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4</w:t>
            </w:r>
          </w:p>
        </w:tc>
        <w:tc>
          <w:tcPr>
            <w:tcW w:w="1470"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8.24</w:t>
            </w:r>
          </w:p>
        </w:tc>
      </w:tr>
      <w:tr>
        <w:tblPrEx>
          <w:tblCellMar>
            <w:top w:w="0" w:type="dxa"/>
            <w:left w:w="108" w:type="dxa"/>
            <w:bottom w:w="0" w:type="dxa"/>
            <w:right w:w="108" w:type="dxa"/>
          </w:tblCellMar>
        </w:tblPrEx>
        <w:trPr>
          <w:trHeight w:val="399" w:hRule="atLeast"/>
          <w:jc w:val="center"/>
        </w:trPr>
        <w:tc>
          <w:tcPr>
            <w:tcW w:w="1230" w:type="dxa"/>
            <w:tcBorders>
              <w:top w:val="nil"/>
              <w:left w:val="single" w:color="auto" w:sz="4" w:space="0"/>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拱墅区</w:t>
            </w:r>
          </w:p>
        </w:tc>
        <w:tc>
          <w:tcPr>
            <w:tcW w:w="916"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10</w:t>
            </w:r>
          </w:p>
        </w:tc>
        <w:tc>
          <w:tcPr>
            <w:tcW w:w="1994"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12.58</w:t>
            </w:r>
          </w:p>
        </w:tc>
        <w:tc>
          <w:tcPr>
            <w:tcW w:w="1130"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　</w:t>
            </w:r>
          </w:p>
        </w:tc>
        <w:tc>
          <w:tcPr>
            <w:tcW w:w="769"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1</w:t>
            </w:r>
          </w:p>
        </w:tc>
        <w:tc>
          <w:tcPr>
            <w:tcW w:w="1492"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1</w:t>
            </w:r>
          </w:p>
        </w:tc>
        <w:tc>
          <w:tcPr>
            <w:tcW w:w="1470"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13.58</w:t>
            </w:r>
          </w:p>
        </w:tc>
      </w:tr>
      <w:tr>
        <w:tblPrEx>
          <w:tblCellMar>
            <w:top w:w="0" w:type="dxa"/>
            <w:left w:w="108" w:type="dxa"/>
            <w:bottom w:w="0" w:type="dxa"/>
            <w:right w:w="108" w:type="dxa"/>
          </w:tblCellMar>
        </w:tblPrEx>
        <w:trPr>
          <w:trHeight w:val="399" w:hRule="atLeast"/>
          <w:jc w:val="center"/>
        </w:trPr>
        <w:tc>
          <w:tcPr>
            <w:tcW w:w="1230" w:type="dxa"/>
            <w:tcBorders>
              <w:top w:val="nil"/>
              <w:left w:val="single" w:color="auto" w:sz="4" w:space="0"/>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西湖区</w:t>
            </w:r>
          </w:p>
        </w:tc>
        <w:tc>
          <w:tcPr>
            <w:tcW w:w="916"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5</w:t>
            </w:r>
          </w:p>
        </w:tc>
        <w:tc>
          <w:tcPr>
            <w:tcW w:w="1994"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5.95</w:t>
            </w:r>
          </w:p>
        </w:tc>
        <w:tc>
          <w:tcPr>
            <w:tcW w:w="1130"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1</w:t>
            </w:r>
          </w:p>
        </w:tc>
        <w:tc>
          <w:tcPr>
            <w:tcW w:w="769"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　</w:t>
            </w:r>
          </w:p>
        </w:tc>
        <w:tc>
          <w:tcPr>
            <w:tcW w:w="1492"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2</w:t>
            </w:r>
          </w:p>
        </w:tc>
        <w:tc>
          <w:tcPr>
            <w:tcW w:w="1470"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7.95</w:t>
            </w:r>
          </w:p>
        </w:tc>
      </w:tr>
      <w:tr>
        <w:tblPrEx>
          <w:tblCellMar>
            <w:top w:w="0" w:type="dxa"/>
            <w:left w:w="108" w:type="dxa"/>
            <w:bottom w:w="0" w:type="dxa"/>
            <w:right w:w="108" w:type="dxa"/>
          </w:tblCellMar>
        </w:tblPrEx>
        <w:trPr>
          <w:trHeight w:val="399" w:hRule="atLeast"/>
          <w:jc w:val="center"/>
        </w:trPr>
        <w:tc>
          <w:tcPr>
            <w:tcW w:w="1230" w:type="dxa"/>
            <w:tcBorders>
              <w:top w:val="nil"/>
              <w:left w:val="single" w:color="auto" w:sz="4" w:space="0"/>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滨江区</w:t>
            </w:r>
          </w:p>
        </w:tc>
        <w:tc>
          <w:tcPr>
            <w:tcW w:w="916"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25</w:t>
            </w:r>
          </w:p>
        </w:tc>
        <w:tc>
          <w:tcPr>
            <w:tcW w:w="1994"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19.04</w:t>
            </w:r>
          </w:p>
        </w:tc>
        <w:tc>
          <w:tcPr>
            <w:tcW w:w="1130"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1</w:t>
            </w:r>
          </w:p>
        </w:tc>
        <w:tc>
          <w:tcPr>
            <w:tcW w:w="769"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　</w:t>
            </w:r>
          </w:p>
        </w:tc>
        <w:tc>
          <w:tcPr>
            <w:tcW w:w="1492"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2</w:t>
            </w:r>
          </w:p>
        </w:tc>
        <w:tc>
          <w:tcPr>
            <w:tcW w:w="1470"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21.04</w:t>
            </w:r>
          </w:p>
        </w:tc>
      </w:tr>
      <w:tr>
        <w:tblPrEx>
          <w:tblCellMar>
            <w:top w:w="0" w:type="dxa"/>
            <w:left w:w="108" w:type="dxa"/>
            <w:bottom w:w="0" w:type="dxa"/>
            <w:right w:w="108" w:type="dxa"/>
          </w:tblCellMar>
        </w:tblPrEx>
        <w:trPr>
          <w:trHeight w:val="399" w:hRule="atLeast"/>
          <w:jc w:val="center"/>
        </w:trPr>
        <w:tc>
          <w:tcPr>
            <w:tcW w:w="1230" w:type="dxa"/>
            <w:tcBorders>
              <w:top w:val="nil"/>
              <w:left w:val="single" w:color="auto" w:sz="4" w:space="0"/>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萧山区</w:t>
            </w:r>
          </w:p>
        </w:tc>
        <w:tc>
          <w:tcPr>
            <w:tcW w:w="916"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10</w:t>
            </w:r>
          </w:p>
        </w:tc>
        <w:tc>
          <w:tcPr>
            <w:tcW w:w="1994"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2.63</w:t>
            </w:r>
          </w:p>
        </w:tc>
        <w:tc>
          <w:tcPr>
            <w:tcW w:w="1130"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1</w:t>
            </w:r>
          </w:p>
        </w:tc>
        <w:tc>
          <w:tcPr>
            <w:tcW w:w="769"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　</w:t>
            </w:r>
          </w:p>
        </w:tc>
        <w:tc>
          <w:tcPr>
            <w:tcW w:w="1492"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2</w:t>
            </w:r>
          </w:p>
        </w:tc>
        <w:tc>
          <w:tcPr>
            <w:tcW w:w="1470"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4.63</w:t>
            </w:r>
          </w:p>
        </w:tc>
      </w:tr>
      <w:tr>
        <w:tblPrEx>
          <w:tblCellMar>
            <w:top w:w="0" w:type="dxa"/>
            <w:left w:w="108" w:type="dxa"/>
            <w:bottom w:w="0" w:type="dxa"/>
            <w:right w:w="108" w:type="dxa"/>
          </w:tblCellMar>
        </w:tblPrEx>
        <w:trPr>
          <w:trHeight w:val="399" w:hRule="atLeast"/>
          <w:jc w:val="center"/>
        </w:trPr>
        <w:tc>
          <w:tcPr>
            <w:tcW w:w="1230" w:type="dxa"/>
            <w:tcBorders>
              <w:top w:val="nil"/>
              <w:left w:val="single" w:color="auto" w:sz="4" w:space="0"/>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余杭区</w:t>
            </w:r>
          </w:p>
        </w:tc>
        <w:tc>
          <w:tcPr>
            <w:tcW w:w="916"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12</w:t>
            </w:r>
          </w:p>
        </w:tc>
        <w:tc>
          <w:tcPr>
            <w:tcW w:w="1994"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10.85</w:t>
            </w:r>
          </w:p>
        </w:tc>
        <w:tc>
          <w:tcPr>
            <w:tcW w:w="1130"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1</w:t>
            </w:r>
          </w:p>
        </w:tc>
        <w:tc>
          <w:tcPr>
            <w:tcW w:w="769"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1</w:t>
            </w:r>
          </w:p>
        </w:tc>
        <w:tc>
          <w:tcPr>
            <w:tcW w:w="1492"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3</w:t>
            </w:r>
          </w:p>
        </w:tc>
        <w:tc>
          <w:tcPr>
            <w:tcW w:w="1470"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13.85</w:t>
            </w:r>
          </w:p>
        </w:tc>
      </w:tr>
      <w:tr>
        <w:tblPrEx>
          <w:tblCellMar>
            <w:top w:w="0" w:type="dxa"/>
            <w:left w:w="108" w:type="dxa"/>
            <w:bottom w:w="0" w:type="dxa"/>
            <w:right w:w="108" w:type="dxa"/>
          </w:tblCellMar>
        </w:tblPrEx>
        <w:trPr>
          <w:trHeight w:val="399" w:hRule="atLeast"/>
          <w:jc w:val="center"/>
        </w:trPr>
        <w:tc>
          <w:tcPr>
            <w:tcW w:w="1230" w:type="dxa"/>
            <w:tcBorders>
              <w:top w:val="nil"/>
              <w:left w:val="single" w:color="auto" w:sz="4" w:space="0"/>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富阳区</w:t>
            </w:r>
          </w:p>
        </w:tc>
        <w:tc>
          <w:tcPr>
            <w:tcW w:w="916"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17</w:t>
            </w:r>
          </w:p>
        </w:tc>
        <w:tc>
          <w:tcPr>
            <w:tcW w:w="1994"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23.81</w:t>
            </w:r>
          </w:p>
        </w:tc>
        <w:tc>
          <w:tcPr>
            <w:tcW w:w="1130"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　</w:t>
            </w:r>
          </w:p>
        </w:tc>
        <w:tc>
          <w:tcPr>
            <w:tcW w:w="769"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1</w:t>
            </w:r>
          </w:p>
        </w:tc>
        <w:tc>
          <w:tcPr>
            <w:tcW w:w="1492"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1</w:t>
            </w:r>
          </w:p>
        </w:tc>
        <w:tc>
          <w:tcPr>
            <w:tcW w:w="1470"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24.81</w:t>
            </w:r>
          </w:p>
        </w:tc>
      </w:tr>
      <w:tr>
        <w:tblPrEx>
          <w:tblCellMar>
            <w:top w:w="0" w:type="dxa"/>
            <w:left w:w="108" w:type="dxa"/>
            <w:bottom w:w="0" w:type="dxa"/>
            <w:right w:w="108" w:type="dxa"/>
          </w:tblCellMar>
        </w:tblPrEx>
        <w:trPr>
          <w:trHeight w:val="399" w:hRule="atLeast"/>
          <w:jc w:val="center"/>
        </w:trPr>
        <w:tc>
          <w:tcPr>
            <w:tcW w:w="1230" w:type="dxa"/>
            <w:tcBorders>
              <w:top w:val="nil"/>
              <w:left w:val="single" w:color="auto" w:sz="4" w:space="0"/>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临安区</w:t>
            </w:r>
          </w:p>
        </w:tc>
        <w:tc>
          <w:tcPr>
            <w:tcW w:w="916"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35</w:t>
            </w:r>
          </w:p>
        </w:tc>
        <w:tc>
          <w:tcPr>
            <w:tcW w:w="1994"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46.45</w:t>
            </w:r>
          </w:p>
        </w:tc>
        <w:tc>
          <w:tcPr>
            <w:tcW w:w="1130"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1</w:t>
            </w:r>
          </w:p>
        </w:tc>
        <w:tc>
          <w:tcPr>
            <w:tcW w:w="769"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　</w:t>
            </w:r>
          </w:p>
        </w:tc>
        <w:tc>
          <w:tcPr>
            <w:tcW w:w="1492"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2</w:t>
            </w:r>
          </w:p>
        </w:tc>
        <w:tc>
          <w:tcPr>
            <w:tcW w:w="1470"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48.46</w:t>
            </w:r>
          </w:p>
        </w:tc>
      </w:tr>
      <w:tr>
        <w:tblPrEx>
          <w:tblCellMar>
            <w:top w:w="0" w:type="dxa"/>
            <w:left w:w="108" w:type="dxa"/>
            <w:bottom w:w="0" w:type="dxa"/>
            <w:right w:w="108" w:type="dxa"/>
          </w:tblCellMar>
        </w:tblPrEx>
        <w:trPr>
          <w:trHeight w:val="399" w:hRule="atLeast"/>
          <w:jc w:val="center"/>
        </w:trPr>
        <w:tc>
          <w:tcPr>
            <w:tcW w:w="1230" w:type="dxa"/>
            <w:tcBorders>
              <w:top w:val="nil"/>
              <w:left w:val="single" w:color="auto" w:sz="4" w:space="0"/>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桐庐县</w:t>
            </w:r>
          </w:p>
        </w:tc>
        <w:tc>
          <w:tcPr>
            <w:tcW w:w="916"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12</w:t>
            </w:r>
          </w:p>
        </w:tc>
        <w:tc>
          <w:tcPr>
            <w:tcW w:w="1994"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24</w:t>
            </w:r>
          </w:p>
        </w:tc>
        <w:tc>
          <w:tcPr>
            <w:tcW w:w="1130"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　</w:t>
            </w:r>
          </w:p>
        </w:tc>
        <w:tc>
          <w:tcPr>
            <w:tcW w:w="769"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1</w:t>
            </w:r>
          </w:p>
        </w:tc>
        <w:tc>
          <w:tcPr>
            <w:tcW w:w="1492"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1</w:t>
            </w:r>
          </w:p>
        </w:tc>
        <w:tc>
          <w:tcPr>
            <w:tcW w:w="1470"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25</w:t>
            </w:r>
          </w:p>
        </w:tc>
      </w:tr>
      <w:tr>
        <w:tblPrEx>
          <w:tblCellMar>
            <w:top w:w="0" w:type="dxa"/>
            <w:left w:w="108" w:type="dxa"/>
            <w:bottom w:w="0" w:type="dxa"/>
            <w:right w:w="108" w:type="dxa"/>
          </w:tblCellMar>
        </w:tblPrEx>
        <w:trPr>
          <w:trHeight w:val="399" w:hRule="atLeast"/>
          <w:jc w:val="center"/>
        </w:trPr>
        <w:tc>
          <w:tcPr>
            <w:tcW w:w="1230" w:type="dxa"/>
            <w:tcBorders>
              <w:top w:val="nil"/>
              <w:left w:val="single" w:color="auto" w:sz="4" w:space="0"/>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淳安县</w:t>
            </w:r>
          </w:p>
        </w:tc>
        <w:tc>
          <w:tcPr>
            <w:tcW w:w="916"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98</w:t>
            </w:r>
          </w:p>
        </w:tc>
        <w:tc>
          <w:tcPr>
            <w:tcW w:w="1994"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179.19</w:t>
            </w:r>
          </w:p>
        </w:tc>
        <w:tc>
          <w:tcPr>
            <w:tcW w:w="1130"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　</w:t>
            </w:r>
          </w:p>
        </w:tc>
        <w:tc>
          <w:tcPr>
            <w:tcW w:w="769"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1</w:t>
            </w:r>
          </w:p>
        </w:tc>
        <w:tc>
          <w:tcPr>
            <w:tcW w:w="1492"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1</w:t>
            </w:r>
          </w:p>
        </w:tc>
        <w:tc>
          <w:tcPr>
            <w:tcW w:w="1470"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180.19</w:t>
            </w:r>
          </w:p>
        </w:tc>
      </w:tr>
      <w:tr>
        <w:tblPrEx>
          <w:tblCellMar>
            <w:top w:w="0" w:type="dxa"/>
            <w:left w:w="108" w:type="dxa"/>
            <w:bottom w:w="0" w:type="dxa"/>
            <w:right w:w="108" w:type="dxa"/>
          </w:tblCellMar>
        </w:tblPrEx>
        <w:trPr>
          <w:trHeight w:val="399" w:hRule="atLeast"/>
          <w:jc w:val="center"/>
        </w:trPr>
        <w:tc>
          <w:tcPr>
            <w:tcW w:w="1230"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建德市</w:t>
            </w:r>
          </w:p>
        </w:tc>
        <w:tc>
          <w:tcPr>
            <w:tcW w:w="916"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12</w:t>
            </w:r>
          </w:p>
        </w:tc>
        <w:tc>
          <w:tcPr>
            <w:tcW w:w="1994"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19.95</w:t>
            </w:r>
          </w:p>
        </w:tc>
        <w:tc>
          <w:tcPr>
            <w:tcW w:w="1130"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　</w:t>
            </w:r>
          </w:p>
        </w:tc>
        <w:tc>
          <w:tcPr>
            <w:tcW w:w="769"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1</w:t>
            </w:r>
          </w:p>
        </w:tc>
        <w:tc>
          <w:tcPr>
            <w:tcW w:w="1492"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1</w:t>
            </w:r>
          </w:p>
        </w:tc>
        <w:tc>
          <w:tcPr>
            <w:tcW w:w="1470"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20.95</w:t>
            </w:r>
          </w:p>
        </w:tc>
      </w:tr>
      <w:tr>
        <w:tblPrEx>
          <w:tblCellMar>
            <w:top w:w="0" w:type="dxa"/>
            <w:left w:w="108" w:type="dxa"/>
            <w:bottom w:w="0" w:type="dxa"/>
            <w:right w:w="108" w:type="dxa"/>
          </w:tblCellMar>
        </w:tblPrEx>
        <w:trPr>
          <w:trHeight w:val="399" w:hRule="atLeast"/>
          <w:jc w:val="center"/>
        </w:trPr>
        <w:tc>
          <w:tcPr>
            <w:tcW w:w="1230"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钱塘新区</w:t>
            </w:r>
          </w:p>
        </w:tc>
        <w:tc>
          <w:tcPr>
            <w:tcW w:w="916"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54</w:t>
            </w:r>
          </w:p>
        </w:tc>
        <w:tc>
          <w:tcPr>
            <w:tcW w:w="1994"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26.24</w:t>
            </w:r>
          </w:p>
        </w:tc>
        <w:tc>
          <w:tcPr>
            <w:tcW w:w="1130"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　</w:t>
            </w:r>
          </w:p>
        </w:tc>
        <w:tc>
          <w:tcPr>
            <w:tcW w:w="769"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1</w:t>
            </w:r>
          </w:p>
        </w:tc>
        <w:tc>
          <w:tcPr>
            <w:tcW w:w="1492"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1</w:t>
            </w:r>
          </w:p>
        </w:tc>
        <w:tc>
          <w:tcPr>
            <w:tcW w:w="1470"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27.24</w:t>
            </w:r>
          </w:p>
        </w:tc>
      </w:tr>
      <w:tr>
        <w:tblPrEx>
          <w:tblCellMar>
            <w:top w:w="0" w:type="dxa"/>
            <w:left w:w="108" w:type="dxa"/>
            <w:bottom w:w="0" w:type="dxa"/>
            <w:right w:w="108" w:type="dxa"/>
          </w:tblCellMar>
        </w:tblPrEx>
        <w:trPr>
          <w:trHeight w:val="660" w:hRule="atLeast"/>
          <w:jc w:val="center"/>
        </w:trPr>
        <w:tc>
          <w:tcPr>
            <w:tcW w:w="1230"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西湖风景名胜区</w:t>
            </w:r>
          </w:p>
        </w:tc>
        <w:tc>
          <w:tcPr>
            <w:tcW w:w="916"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6</w:t>
            </w:r>
          </w:p>
        </w:tc>
        <w:tc>
          <w:tcPr>
            <w:tcW w:w="1994"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1.45</w:t>
            </w:r>
          </w:p>
        </w:tc>
        <w:tc>
          <w:tcPr>
            <w:tcW w:w="1130"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　</w:t>
            </w:r>
          </w:p>
        </w:tc>
        <w:tc>
          <w:tcPr>
            <w:tcW w:w="769"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　</w:t>
            </w:r>
          </w:p>
        </w:tc>
        <w:tc>
          <w:tcPr>
            <w:tcW w:w="1492"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　</w:t>
            </w:r>
          </w:p>
        </w:tc>
        <w:tc>
          <w:tcPr>
            <w:tcW w:w="1470"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1.45</w:t>
            </w:r>
          </w:p>
        </w:tc>
      </w:tr>
      <w:tr>
        <w:tblPrEx>
          <w:tblCellMar>
            <w:top w:w="0" w:type="dxa"/>
            <w:left w:w="108" w:type="dxa"/>
            <w:bottom w:w="0" w:type="dxa"/>
            <w:right w:w="108" w:type="dxa"/>
          </w:tblCellMar>
        </w:tblPrEx>
        <w:trPr>
          <w:trHeight w:val="660" w:hRule="atLeast"/>
          <w:jc w:val="center"/>
        </w:trPr>
        <w:tc>
          <w:tcPr>
            <w:tcW w:w="1230"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合  计</w:t>
            </w:r>
          </w:p>
        </w:tc>
        <w:tc>
          <w:tcPr>
            <w:tcW w:w="916"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306</w:t>
            </w:r>
          </w:p>
        </w:tc>
        <w:tc>
          <w:tcPr>
            <w:tcW w:w="1994"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383.32</w:t>
            </w:r>
          </w:p>
        </w:tc>
        <w:tc>
          <w:tcPr>
            <w:tcW w:w="1130"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7</w:t>
            </w:r>
          </w:p>
        </w:tc>
        <w:tc>
          <w:tcPr>
            <w:tcW w:w="769"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10</w:t>
            </w:r>
          </w:p>
        </w:tc>
        <w:tc>
          <w:tcPr>
            <w:tcW w:w="1492"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24</w:t>
            </w:r>
          </w:p>
        </w:tc>
        <w:tc>
          <w:tcPr>
            <w:tcW w:w="1470" w:type="dxa"/>
            <w:tcBorders>
              <w:top w:val="nil"/>
              <w:left w:val="nil"/>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407.33</w:t>
            </w:r>
          </w:p>
        </w:tc>
      </w:tr>
      <w:tr>
        <w:tblPrEx>
          <w:tblCellMar>
            <w:top w:w="0" w:type="dxa"/>
            <w:left w:w="108" w:type="dxa"/>
            <w:bottom w:w="0" w:type="dxa"/>
            <w:right w:w="108" w:type="dxa"/>
          </w:tblCellMar>
        </w:tblPrEx>
        <w:trPr>
          <w:trHeight w:val="1188" w:hRule="atLeast"/>
          <w:jc w:val="center"/>
        </w:trPr>
        <w:tc>
          <w:tcPr>
            <w:tcW w:w="1230" w:type="dxa"/>
            <w:tcBorders>
              <w:top w:val="nil"/>
              <w:left w:val="single" w:color="auto" w:sz="4" w:space="0"/>
              <w:bottom w:val="single" w:color="auto" w:sz="4" w:space="0"/>
              <w:right w:val="single" w:color="auto" w:sz="4" w:space="0"/>
            </w:tcBorders>
            <w:noWrap w:val="0"/>
            <w:vAlign w:val="center"/>
          </w:tcPr>
          <w:p>
            <w:pPr>
              <w:widowControl/>
              <w:spacing w:line="4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rPr>
              <w:t>备注</w:t>
            </w:r>
          </w:p>
        </w:tc>
        <w:tc>
          <w:tcPr>
            <w:tcW w:w="7771" w:type="dxa"/>
            <w:gridSpan w:val="6"/>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ascii="仿宋" w:hAnsi="仿宋" w:eastAsia="仿宋" w:cs="宋体"/>
                <w:color w:val="000000"/>
                <w:kern w:val="0"/>
                <w:szCs w:val="21"/>
              </w:rPr>
            </w:pPr>
            <w:r>
              <w:rPr>
                <w:rFonts w:hint="eastAsia" w:ascii="仿宋" w:hAnsi="仿宋" w:eastAsia="仿宋" w:cs="宋体"/>
                <w:color w:val="000000"/>
                <w:kern w:val="0"/>
                <w:sz w:val="22"/>
              </w:rPr>
              <w:t xml:space="preserve">   </w:t>
            </w:r>
            <w:r>
              <w:rPr>
                <w:rFonts w:hint="eastAsia" w:ascii="仿宋" w:hAnsi="仿宋" w:eastAsia="仿宋" w:cs="宋体"/>
                <w:color w:val="000000"/>
                <w:kern w:val="0"/>
                <w:szCs w:val="21"/>
              </w:rPr>
              <w:t xml:space="preserve"> 1.</w:t>
            </w:r>
            <w:r>
              <w:t xml:space="preserve"> </w:t>
            </w:r>
            <w:r>
              <w:rPr>
                <w:rFonts w:hint="eastAsia" w:ascii="仿宋" w:hAnsi="仿宋" w:eastAsia="仿宋" w:cs="宋体"/>
                <w:color w:val="000000"/>
                <w:kern w:val="0"/>
                <w:szCs w:val="21"/>
              </w:rPr>
              <w:t>避灾安置场所规范化建设补助资金根据第三方检查评估确认情况下达；2.根据应急〔2019〕188号文件，我市上城区清波街道清波门社区、江干区四季青街道钱江苑社区、西湖区转塘街道龙门坎村、滨江区浦沿街道信诚社区、萧山区河上镇大桥村、余杭区仓前街道吴山前村、临安区於潜镇英公村等为全国综合减灾示范社区；根据浙减〔2019〕1号文件，我市下城区东新街道西文社区、江干区九堡街道九华社区、江干区笕桥街道金色黎明社区、拱墅区祥符街道北星社区、余杭区运河街道亭趾社区、富阳区富春街道春晖社区、桐庐县凤川街道凤栖社区、淳安县梓桐镇杜井村、建德市航头镇彭家村、钱塘新区新湾街道新北桥社区为全省综合减灾示范社区；2.综合减灾示范社区资助标准为：对获得全国综合减灾示范社区的，给予一次性补助2万元；对获得全省综合减灾示范社区的，给予一次性补助1万元。</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106560"/>
    <w:rsid w:val="1C106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2020-08-04T09:48:00Z</dcterms:created>
  <dc:creator>JMengjie</dc:creator>
  <cp:lastModifiedBy>JMengjie</cp:lastModifiedBy>
  <dcterms:modified xsi:type="dcterms:W3CDTF">2020-08-04T09:51:24Z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