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widowControl/>
        <w:suppressLineNumbers w:val="0"/>
        <w:shd w:val="clear" w:color="auto" w:fill="FFFFFF"/>
        <w:spacing w:before="0" w:beforeAutospacing="0" w:after="0" w:afterAutospacing="0"/>
        <w:ind w:right="0"/>
        <w:jc w:val="both"/>
        <w:rPr>
          <w:rStyle w:val="19"/>
          <w:rFonts w:hint="eastAsia" w:ascii="黑体" w:hAnsi="黑体" w:eastAsia="黑体" w:cs="黑体"/>
          <w:b w:val="0"/>
          <w:bCs/>
          <w:i w:val="0"/>
          <w:caps w:val="0"/>
          <w:color w:val="000000"/>
          <w:spacing w:val="0"/>
          <w:sz w:val="32"/>
          <w:szCs w:val="32"/>
          <w:shd w:val="clear" w:color="auto" w:fill="FFFFFF"/>
          <w:lang w:val="en-US" w:eastAsia="zh-CN"/>
        </w:rPr>
      </w:pPr>
    </w:p>
    <w:p>
      <w:pPr>
        <w:ind w:left="0" w:leftChars="0" w:firstLine="0" w:firstLineChars="0"/>
        <w:jc w:val="center"/>
        <w:rPr>
          <w:rFonts w:ascii="黑体" w:hAnsi="黑体" w:eastAsia="黑体"/>
          <w:b/>
          <w:bCs/>
          <w:color w:val="000000" w:themeColor="text1"/>
          <w:sz w:val="52"/>
          <w:szCs w:val="52"/>
          <w14:textFill>
            <w14:solidFill>
              <w14:schemeClr w14:val="tx1"/>
            </w14:solidFill>
          </w14:textFill>
        </w:rPr>
      </w:pPr>
      <w:r>
        <w:rPr>
          <w:rFonts w:hint="eastAsia" w:ascii="黑体" w:hAnsi="黑体" w:eastAsia="黑体"/>
          <w:b/>
          <w:bCs/>
          <w:color w:val="000000" w:themeColor="text1"/>
          <w:sz w:val="52"/>
          <w:szCs w:val="52"/>
          <w14:textFill>
            <w14:solidFill>
              <w14:schemeClr w14:val="tx1"/>
            </w14:solidFill>
          </w14:textFill>
        </w:rPr>
        <w:t>杭州</w:t>
      </w:r>
      <w:r>
        <w:rPr>
          <w:rFonts w:ascii="黑体" w:hAnsi="黑体" w:eastAsia="黑体"/>
          <w:b/>
          <w:bCs/>
          <w:color w:val="000000" w:themeColor="text1"/>
          <w:sz w:val="52"/>
          <w:szCs w:val="52"/>
          <w14:textFill>
            <w14:solidFill>
              <w14:schemeClr w14:val="tx1"/>
            </w14:solidFill>
          </w14:textFill>
        </w:rPr>
        <w:t>市危险化学品事故</w:t>
      </w:r>
    </w:p>
    <w:p>
      <w:pPr>
        <w:ind w:left="0" w:leftChars="0" w:firstLine="0" w:firstLineChars="0"/>
        <w:jc w:val="center"/>
        <w:rPr>
          <w:color w:val="000000" w:themeColor="text1"/>
          <w14:textFill>
            <w14:solidFill>
              <w14:schemeClr w14:val="tx1"/>
            </w14:solidFill>
          </w14:textFill>
        </w:rPr>
      </w:pPr>
      <w:r>
        <w:rPr>
          <w:rFonts w:ascii="黑体" w:hAnsi="黑体" w:eastAsia="黑体"/>
          <w:b/>
          <w:bCs/>
          <w:color w:val="000000" w:themeColor="text1"/>
          <w:sz w:val="52"/>
          <w:szCs w:val="52"/>
          <w14:textFill>
            <w14:solidFill>
              <w14:schemeClr w14:val="tx1"/>
            </w14:solidFill>
          </w14:textFill>
        </w:rPr>
        <w:t>应急预案</w:t>
      </w:r>
    </w:p>
    <w:p>
      <w:pPr>
        <w:widowControl/>
        <w:ind w:firstLine="0" w:firstLineChars="0"/>
        <w:jc w:val="center"/>
        <w:rPr>
          <w:rFonts w:hint="eastAsia" w:ascii="楷体" w:hAnsi="楷体" w:eastAsia="楷体" w:cs="楷体"/>
          <w:color w:val="000000" w:themeColor="text1"/>
          <w:sz w:val="32"/>
          <w:szCs w:val="24"/>
          <w:lang w:val="zh-CN"/>
          <w14:textFill>
            <w14:solidFill>
              <w14:schemeClr w14:val="tx1"/>
            </w14:solidFill>
          </w14:textFill>
        </w:rPr>
      </w:pPr>
      <w:r>
        <w:rPr>
          <w:rFonts w:hint="eastAsia" w:ascii="楷体" w:hAnsi="楷体" w:eastAsia="楷体" w:cs="楷体"/>
          <w:color w:val="000000" w:themeColor="text1"/>
          <w:sz w:val="32"/>
          <w:szCs w:val="24"/>
          <w:lang w:val="zh-CN"/>
          <w14:textFill>
            <w14:solidFill>
              <w14:schemeClr w14:val="tx1"/>
            </w14:solidFill>
          </w14:textFill>
        </w:rPr>
        <w:t>（</w:t>
      </w:r>
      <w:r>
        <w:rPr>
          <w:rFonts w:hint="eastAsia" w:ascii="楷体" w:hAnsi="楷体" w:eastAsia="楷体" w:cs="楷体"/>
          <w:color w:val="000000" w:themeColor="text1"/>
          <w:sz w:val="32"/>
          <w:szCs w:val="24"/>
          <w:lang w:val="en-US" w:eastAsia="zh-CN"/>
          <w14:textFill>
            <w14:solidFill>
              <w14:schemeClr w14:val="tx1"/>
            </w14:solidFill>
          </w14:textFill>
        </w:rPr>
        <w:t>2022年修订稿</w:t>
      </w:r>
      <w:r>
        <w:rPr>
          <w:rFonts w:hint="eastAsia" w:ascii="楷体" w:hAnsi="楷体" w:eastAsia="楷体" w:cs="楷体"/>
          <w:color w:val="000000" w:themeColor="text1"/>
          <w:sz w:val="32"/>
          <w:szCs w:val="24"/>
          <w:lang w:val="zh-CN"/>
          <w14:textFill>
            <w14:solidFill>
              <w14:schemeClr w14:val="tx1"/>
            </w14:solidFill>
          </w14:textFill>
        </w:rPr>
        <w:t>）</w:t>
      </w:r>
    </w:p>
    <w:p>
      <w:pPr>
        <w:widowControl/>
        <w:ind w:firstLine="0" w:firstLineChars="0"/>
        <w:jc w:val="center"/>
        <w:rPr>
          <w:b/>
          <w:bCs/>
          <w:color w:val="000000" w:themeColor="text1"/>
          <w:sz w:val="32"/>
          <w:szCs w:val="24"/>
          <w14:textFill>
            <w14:solidFill>
              <w14:schemeClr w14:val="tx1"/>
            </w14:solidFill>
          </w14:textFill>
        </w:rPr>
      </w:pPr>
      <w:r>
        <w:rPr>
          <w:b/>
          <w:bCs/>
          <w:color w:val="000000" w:themeColor="text1"/>
          <w:sz w:val="32"/>
          <w:szCs w:val="24"/>
          <w:lang w:val="zh-CN"/>
          <w14:textFill>
            <w14:solidFill>
              <w14:schemeClr w14:val="tx1"/>
            </w14:solidFill>
          </w14:textFill>
        </w:rPr>
        <w:t>目录</w:t>
      </w:r>
    </w:p>
    <w:p>
      <w:pPr>
        <w:pStyle w:val="12"/>
        <w:tabs>
          <w:tab w:val="right" w:pos="8306"/>
        </w:tabs>
      </w:pPr>
      <w:r>
        <w:rPr>
          <w:color w:val="000000" w:themeColor="text1"/>
          <w:sz w:val="32"/>
          <w:szCs w:val="24"/>
          <w14:textFill>
            <w14:solidFill>
              <w14:schemeClr w14:val="tx1"/>
            </w14:solidFill>
          </w14:textFill>
        </w:rPr>
        <w:fldChar w:fldCharType="begin"/>
      </w:r>
      <w:r>
        <w:rPr>
          <w:color w:val="000000" w:themeColor="text1"/>
          <w:sz w:val="32"/>
          <w:szCs w:val="24"/>
          <w14:textFill>
            <w14:solidFill>
              <w14:schemeClr w14:val="tx1"/>
            </w14:solidFill>
          </w14:textFill>
        </w:rPr>
        <w:instrText xml:space="preserve">TOC \o "1-3" \n  \h \u </w:instrText>
      </w:r>
      <w:r>
        <w:rPr>
          <w:color w:val="000000" w:themeColor="text1"/>
          <w:sz w:val="32"/>
          <w:szCs w:val="24"/>
          <w14:textFill>
            <w14:solidFill>
              <w14:schemeClr w14:val="tx1"/>
            </w14:solidFill>
          </w14:textFill>
        </w:rPr>
        <w:fldChar w:fldCharType="separate"/>
      </w:r>
      <w:r>
        <w:rPr>
          <w:color w:val="000000" w:themeColor="text1"/>
          <w:szCs w:val="24"/>
          <w14:textFill>
            <w14:solidFill>
              <w14:schemeClr w14:val="tx1"/>
            </w14:solidFill>
          </w14:textFill>
        </w:rPr>
        <w:fldChar w:fldCharType="begin"/>
      </w:r>
      <w:r>
        <w:rPr>
          <w:szCs w:val="24"/>
        </w:rPr>
        <w:instrText xml:space="preserve"> HYPERLINK \l _Toc1664491787 </w:instrText>
      </w:r>
      <w:r>
        <w:rPr>
          <w:szCs w:val="24"/>
        </w:rPr>
        <w:fldChar w:fldCharType="separate"/>
      </w:r>
      <w:r>
        <w:rPr>
          <w:rFonts w:hint="eastAsia"/>
          <w:szCs w:val="48"/>
        </w:rPr>
        <w:t xml:space="preserve">1  </w:t>
      </w:r>
      <w:r>
        <w:rPr>
          <w:rFonts w:hint="eastAsia"/>
          <w:b/>
          <w:bCs/>
          <w:szCs w:val="48"/>
        </w:rPr>
        <w:t>总则</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_Toc604622231 </w:instrText>
      </w:r>
      <w:r>
        <w:rPr>
          <w:szCs w:val="24"/>
        </w:rPr>
        <w:fldChar w:fldCharType="separate"/>
      </w:r>
      <w:r>
        <w:rPr>
          <w:rFonts w:hint="eastAsia"/>
          <w:bCs/>
          <w:szCs w:val="36"/>
        </w:rPr>
        <w:t>1.1编制目的</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_Toc325502516 </w:instrText>
      </w:r>
      <w:r>
        <w:rPr>
          <w:szCs w:val="24"/>
        </w:rPr>
        <w:fldChar w:fldCharType="separate"/>
      </w:r>
      <w:r>
        <w:rPr>
          <w:rFonts w:hint="eastAsia"/>
          <w:szCs w:val="36"/>
        </w:rPr>
        <w:t>1.2编制依据</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_Toc1910014486 </w:instrText>
      </w:r>
      <w:r>
        <w:rPr>
          <w:szCs w:val="24"/>
        </w:rPr>
        <w:fldChar w:fldCharType="separate"/>
      </w:r>
      <w:r>
        <w:rPr>
          <w:rFonts w:hint="eastAsia"/>
          <w:bCs/>
          <w:szCs w:val="36"/>
        </w:rPr>
        <w:t>1.3适用范围</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_Toc1159739672 </w:instrText>
      </w:r>
      <w:r>
        <w:rPr>
          <w:szCs w:val="24"/>
        </w:rPr>
        <w:fldChar w:fldCharType="separate"/>
      </w:r>
      <w:r>
        <w:rPr>
          <w:rFonts w:hint="eastAsia"/>
          <w:bCs/>
          <w:szCs w:val="36"/>
        </w:rPr>
        <w:t>1.4工作原则</w:t>
      </w:r>
      <w:r>
        <w:rPr>
          <w:color w:val="000000" w:themeColor="text1"/>
          <w:szCs w:val="24"/>
          <w14:textFill>
            <w14:solidFill>
              <w14:schemeClr w14:val="tx1"/>
            </w14:solidFill>
          </w14:textFill>
        </w:rPr>
        <w:fldChar w:fldCharType="end"/>
      </w:r>
    </w:p>
    <w:p>
      <w:pPr>
        <w:pStyle w:val="12"/>
        <w:tabs>
          <w:tab w:val="right" w:pos="8306"/>
        </w:tabs>
      </w:pPr>
      <w:r>
        <w:rPr>
          <w:color w:val="000000" w:themeColor="text1"/>
          <w:szCs w:val="24"/>
          <w14:textFill>
            <w14:solidFill>
              <w14:schemeClr w14:val="tx1"/>
            </w14:solidFill>
          </w14:textFill>
        </w:rPr>
        <w:fldChar w:fldCharType="begin"/>
      </w:r>
      <w:r>
        <w:rPr>
          <w:szCs w:val="24"/>
        </w:rPr>
        <w:instrText xml:space="preserve"> HYPERLINK \l _Toc323623775 </w:instrText>
      </w:r>
      <w:r>
        <w:rPr>
          <w:szCs w:val="24"/>
        </w:rPr>
        <w:fldChar w:fldCharType="separate"/>
      </w:r>
      <w:r>
        <w:rPr>
          <w:rFonts w:hint="eastAsia"/>
          <w:szCs w:val="48"/>
        </w:rPr>
        <w:t>2.</w:t>
      </w:r>
      <w:r>
        <w:rPr>
          <w:rFonts w:hint="eastAsia"/>
          <w:b/>
          <w:bCs/>
          <w:szCs w:val="48"/>
        </w:rPr>
        <w:t>事故分级</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_Toc693151363 </w:instrText>
      </w:r>
      <w:r>
        <w:rPr>
          <w:szCs w:val="24"/>
        </w:rPr>
        <w:fldChar w:fldCharType="separate"/>
      </w:r>
      <w:r>
        <w:rPr>
          <w:rFonts w:hint="eastAsia"/>
          <w:kern w:val="2"/>
          <w:szCs w:val="36"/>
          <w:lang w:val="en-US" w:eastAsia="zh-CN" w:bidi="ar-SA"/>
        </w:rPr>
        <w:t>2.1特别重大危险化学品事故</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_Toc2099099740 </w:instrText>
      </w:r>
      <w:r>
        <w:rPr>
          <w:szCs w:val="24"/>
        </w:rPr>
        <w:fldChar w:fldCharType="separate"/>
      </w:r>
      <w:r>
        <w:rPr>
          <w:rFonts w:hint="eastAsia"/>
          <w:kern w:val="2"/>
          <w:szCs w:val="36"/>
          <w:lang w:val="en-US" w:eastAsia="zh-CN" w:bidi="ar-SA"/>
        </w:rPr>
        <w:t>2.2重大危险化学品事故</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_Toc679577448 </w:instrText>
      </w:r>
      <w:r>
        <w:rPr>
          <w:szCs w:val="24"/>
        </w:rPr>
        <w:fldChar w:fldCharType="separate"/>
      </w:r>
      <w:r>
        <w:rPr>
          <w:rFonts w:hint="eastAsia"/>
          <w:kern w:val="2"/>
          <w:szCs w:val="36"/>
          <w:lang w:val="en-US" w:eastAsia="zh-CN" w:bidi="ar-SA"/>
        </w:rPr>
        <w:t>2.3较大危险化学品事故</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_Toc1296568359 </w:instrText>
      </w:r>
      <w:r>
        <w:rPr>
          <w:szCs w:val="24"/>
        </w:rPr>
        <w:fldChar w:fldCharType="separate"/>
      </w:r>
      <w:r>
        <w:rPr>
          <w:rFonts w:hint="eastAsia"/>
          <w:kern w:val="2"/>
          <w:szCs w:val="36"/>
          <w:lang w:val="en-US" w:eastAsia="zh-CN" w:bidi="ar-SA"/>
        </w:rPr>
        <w:t>2.4一般危险化学品事故</w:t>
      </w:r>
      <w:r>
        <w:rPr>
          <w:color w:val="000000" w:themeColor="text1"/>
          <w:szCs w:val="24"/>
          <w14:textFill>
            <w14:solidFill>
              <w14:schemeClr w14:val="tx1"/>
            </w14:solidFill>
          </w14:textFill>
        </w:rPr>
        <w:fldChar w:fldCharType="end"/>
      </w:r>
    </w:p>
    <w:p>
      <w:pPr>
        <w:pStyle w:val="12"/>
        <w:tabs>
          <w:tab w:val="right" w:pos="8306"/>
        </w:tabs>
      </w:pPr>
      <w:r>
        <w:rPr>
          <w:color w:val="000000" w:themeColor="text1"/>
          <w:szCs w:val="24"/>
          <w14:textFill>
            <w14:solidFill>
              <w14:schemeClr w14:val="tx1"/>
            </w14:solidFill>
          </w14:textFill>
        </w:rPr>
        <w:fldChar w:fldCharType="begin"/>
      </w:r>
      <w:r>
        <w:rPr>
          <w:szCs w:val="24"/>
        </w:rPr>
        <w:instrText xml:space="preserve"> HYPERLINK \l _Toc755514988 </w:instrText>
      </w:r>
      <w:r>
        <w:rPr>
          <w:szCs w:val="24"/>
        </w:rPr>
        <w:fldChar w:fldCharType="separate"/>
      </w:r>
      <w:r>
        <w:rPr>
          <w:rFonts w:hint="eastAsia"/>
          <w:szCs w:val="48"/>
        </w:rPr>
        <w:t xml:space="preserve">3  </w:t>
      </w:r>
      <w:r>
        <w:rPr>
          <w:rFonts w:hint="eastAsia"/>
          <w:b/>
          <w:bCs/>
          <w:szCs w:val="48"/>
        </w:rPr>
        <w:t>组织机构和职责</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_Toc558631755 </w:instrText>
      </w:r>
      <w:r>
        <w:rPr>
          <w:szCs w:val="24"/>
        </w:rPr>
        <w:fldChar w:fldCharType="separate"/>
      </w:r>
      <w:r>
        <w:rPr>
          <w:rFonts w:hint="eastAsia"/>
          <w:szCs w:val="36"/>
          <w:lang w:val="en-US" w:eastAsia="zh-CN"/>
        </w:rPr>
        <w:t>3.1指挥机构</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_Toc1459699541 </w:instrText>
      </w:r>
      <w:r>
        <w:rPr>
          <w:szCs w:val="24"/>
        </w:rPr>
        <w:fldChar w:fldCharType="separate"/>
      </w:r>
      <w:r>
        <w:rPr>
          <w:rFonts w:hint="eastAsia"/>
          <w:kern w:val="2"/>
          <w:szCs w:val="36"/>
          <w:lang w:val="en-US" w:eastAsia="zh-CN" w:bidi="ar-SA"/>
        </w:rPr>
        <w:t>3.2现场指挥部及应急工作组</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_Toc1158352982 </w:instrText>
      </w:r>
      <w:r>
        <w:rPr>
          <w:szCs w:val="24"/>
        </w:rPr>
        <w:fldChar w:fldCharType="separate"/>
      </w:r>
      <w:r>
        <w:rPr>
          <w:rFonts w:hint="eastAsia"/>
          <w:kern w:val="2"/>
          <w:szCs w:val="36"/>
          <w:lang w:val="en-US" w:eastAsia="zh-CN" w:bidi="ar-SA"/>
        </w:rPr>
        <w:t>3.3应急救援专家组及职责</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_Toc279307678 </w:instrText>
      </w:r>
      <w:r>
        <w:rPr>
          <w:szCs w:val="24"/>
        </w:rPr>
        <w:fldChar w:fldCharType="separate"/>
      </w:r>
      <w:r>
        <w:rPr>
          <w:rFonts w:hint="eastAsia"/>
          <w:kern w:val="2"/>
          <w:szCs w:val="36"/>
          <w:lang w:val="en-US" w:eastAsia="zh-CN" w:bidi="ar-SA"/>
        </w:rPr>
        <w:t>3.4应急救援队伍及职责</w:t>
      </w:r>
      <w:r>
        <w:rPr>
          <w:color w:val="000000" w:themeColor="text1"/>
          <w:szCs w:val="24"/>
          <w14:textFill>
            <w14:solidFill>
              <w14:schemeClr w14:val="tx1"/>
            </w14:solidFill>
          </w14:textFill>
        </w:rPr>
        <w:fldChar w:fldCharType="end"/>
      </w:r>
    </w:p>
    <w:p>
      <w:pPr>
        <w:pStyle w:val="12"/>
        <w:tabs>
          <w:tab w:val="right" w:pos="8306"/>
        </w:tabs>
      </w:pPr>
      <w:r>
        <w:rPr>
          <w:color w:val="000000" w:themeColor="text1"/>
          <w:szCs w:val="24"/>
          <w14:textFill>
            <w14:solidFill>
              <w14:schemeClr w14:val="tx1"/>
            </w14:solidFill>
          </w14:textFill>
        </w:rPr>
        <w:fldChar w:fldCharType="begin"/>
      </w:r>
      <w:r>
        <w:rPr>
          <w:szCs w:val="24"/>
        </w:rPr>
        <w:instrText xml:space="preserve"> HYPERLINK \l _Toc1911710214 </w:instrText>
      </w:r>
      <w:r>
        <w:rPr>
          <w:szCs w:val="24"/>
        </w:rPr>
        <w:fldChar w:fldCharType="separate"/>
      </w:r>
      <w:r>
        <w:rPr>
          <w:rFonts w:hint="eastAsia"/>
          <w:szCs w:val="48"/>
        </w:rPr>
        <w:t>4</w:t>
      </w:r>
      <w:r>
        <w:rPr>
          <w:rFonts w:hint="eastAsia"/>
          <w:szCs w:val="48"/>
          <w:lang w:val="en-US" w:eastAsia="zh-CN"/>
        </w:rPr>
        <w:t xml:space="preserve">  </w:t>
      </w:r>
      <w:r>
        <w:rPr>
          <w:rFonts w:hint="eastAsia"/>
          <w:b/>
          <w:bCs/>
          <w:szCs w:val="48"/>
        </w:rPr>
        <w:t>监测与预警</w:t>
      </w:r>
      <w:r>
        <w:rPr>
          <w:color w:val="000000" w:themeColor="text1"/>
          <w:szCs w:val="24"/>
          <w14:textFill>
            <w14:solidFill>
              <w14:schemeClr w14:val="tx1"/>
            </w14:solidFill>
          </w14:textFill>
        </w:rPr>
        <w:fldChar w:fldCharType="end"/>
      </w:r>
    </w:p>
    <w:p>
      <w:pPr>
        <w:pStyle w:val="12"/>
        <w:tabs>
          <w:tab w:val="right" w:pos="8306"/>
        </w:tabs>
      </w:pPr>
      <w:r>
        <w:rPr>
          <w:color w:val="000000" w:themeColor="text1"/>
          <w:szCs w:val="24"/>
          <w14:textFill>
            <w14:solidFill>
              <w14:schemeClr w14:val="tx1"/>
            </w14:solidFill>
          </w14:textFill>
        </w:rPr>
        <w:fldChar w:fldCharType="begin"/>
      </w:r>
      <w:r>
        <w:rPr>
          <w:szCs w:val="24"/>
        </w:rPr>
        <w:instrText xml:space="preserve"> HYPERLINK \l _Toc1244431852 </w:instrText>
      </w:r>
      <w:r>
        <w:rPr>
          <w:szCs w:val="24"/>
        </w:rPr>
        <w:fldChar w:fldCharType="separate"/>
      </w:r>
      <w:r>
        <w:rPr>
          <w:szCs w:val="48"/>
        </w:rPr>
        <w:t xml:space="preserve">5  </w:t>
      </w:r>
      <w:r>
        <w:rPr>
          <w:rFonts w:hint="eastAsia"/>
          <w:b/>
          <w:bCs/>
          <w:szCs w:val="48"/>
        </w:rPr>
        <w:t>应急响应</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_Toc768827995 </w:instrText>
      </w:r>
      <w:r>
        <w:rPr>
          <w:szCs w:val="24"/>
        </w:rPr>
        <w:fldChar w:fldCharType="separate"/>
      </w:r>
      <w:r>
        <w:rPr>
          <w:rFonts w:hint="eastAsia"/>
          <w:kern w:val="2"/>
          <w:szCs w:val="36"/>
          <w:lang w:val="en-US" w:eastAsia="zh-CN" w:bidi="ar-SA"/>
        </w:rPr>
        <w:t>5.1信息报告</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_Toc370195628 </w:instrText>
      </w:r>
      <w:r>
        <w:rPr>
          <w:szCs w:val="24"/>
        </w:rPr>
        <w:fldChar w:fldCharType="separate"/>
      </w:r>
      <w:r>
        <w:rPr>
          <w:rFonts w:hint="eastAsia"/>
          <w:kern w:val="2"/>
          <w:szCs w:val="36"/>
          <w:lang w:val="en-US" w:eastAsia="zh-CN" w:bidi="ar-SA"/>
        </w:rPr>
        <w:t>5.2先期处置</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_Toc519783612 </w:instrText>
      </w:r>
      <w:r>
        <w:rPr>
          <w:szCs w:val="24"/>
        </w:rPr>
        <w:fldChar w:fldCharType="separate"/>
      </w:r>
      <w:r>
        <w:rPr>
          <w:rFonts w:hint="eastAsia"/>
          <w:kern w:val="2"/>
          <w:szCs w:val="36"/>
          <w:lang w:val="en-US" w:eastAsia="zh-CN" w:bidi="ar-SA"/>
        </w:rPr>
        <w:t>5.3应急响应</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_Toc2105136110 </w:instrText>
      </w:r>
      <w:r>
        <w:rPr>
          <w:szCs w:val="24"/>
        </w:rPr>
        <w:fldChar w:fldCharType="separate"/>
      </w:r>
      <w:r>
        <w:rPr>
          <w:rFonts w:hint="eastAsia"/>
          <w:kern w:val="2"/>
          <w:szCs w:val="36"/>
          <w:lang w:val="en-US" w:eastAsia="zh-CN" w:bidi="ar-SA"/>
        </w:rPr>
        <w:t>5.4应急处置措施</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_Toc319902528 </w:instrText>
      </w:r>
      <w:r>
        <w:rPr>
          <w:szCs w:val="24"/>
        </w:rPr>
        <w:fldChar w:fldCharType="separate"/>
      </w:r>
      <w:r>
        <w:rPr>
          <w:rFonts w:hint="eastAsia"/>
          <w:kern w:val="2"/>
          <w:szCs w:val="36"/>
          <w:highlight w:val="none"/>
          <w:lang w:val="en-US" w:eastAsia="zh-CN" w:bidi="ar-SA"/>
        </w:rPr>
        <w:t>5.5响应升级</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_Toc1424423594 </w:instrText>
      </w:r>
      <w:r>
        <w:rPr>
          <w:szCs w:val="24"/>
        </w:rPr>
        <w:fldChar w:fldCharType="separate"/>
      </w:r>
      <w:r>
        <w:rPr>
          <w:rFonts w:hint="eastAsia"/>
          <w:szCs w:val="36"/>
          <w:highlight w:val="none"/>
          <w:lang w:eastAsia="zh-CN"/>
        </w:rPr>
        <w:t>5</w:t>
      </w:r>
      <w:r>
        <w:rPr>
          <w:rFonts w:hint="eastAsia"/>
          <w:szCs w:val="36"/>
          <w:highlight w:val="none"/>
          <w:lang w:val="en-US" w:eastAsia="zh-CN"/>
        </w:rPr>
        <w:t>.6</w:t>
      </w:r>
      <w:r>
        <w:rPr>
          <w:rFonts w:hint="eastAsia"/>
          <w:szCs w:val="36"/>
          <w:highlight w:val="none"/>
        </w:rPr>
        <w:t xml:space="preserve"> 应急人员安全防护</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_Toc656292959 </w:instrText>
      </w:r>
      <w:r>
        <w:rPr>
          <w:szCs w:val="24"/>
        </w:rPr>
        <w:fldChar w:fldCharType="separate"/>
      </w:r>
      <w:r>
        <w:rPr>
          <w:rFonts w:hint="eastAsia"/>
          <w:szCs w:val="36"/>
          <w:highlight w:val="none"/>
          <w:lang w:eastAsia="zh-CN"/>
        </w:rPr>
        <w:t>5</w:t>
      </w:r>
      <w:r>
        <w:rPr>
          <w:rFonts w:hint="eastAsia"/>
          <w:szCs w:val="36"/>
          <w:highlight w:val="none"/>
          <w:lang w:val="en-US" w:eastAsia="zh-CN"/>
        </w:rPr>
        <w:t>.7</w:t>
      </w:r>
      <w:r>
        <w:rPr>
          <w:rFonts w:hint="eastAsia"/>
          <w:szCs w:val="36"/>
          <w:highlight w:val="none"/>
        </w:rPr>
        <w:t xml:space="preserve"> 群众安全防护</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_Toc1475042528 </w:instrText>
      </w:r>
      <w:r>
        <w:rPr>
          <w:szCs w:val="24"/>
        </w:rPr>
        <w:fldChar w:fldCharType="separate"/>
      </w:r>
      <w:r>
        <w:rPr>
          <w:rFonts w:hint="eastAsia"/>
          <w:kern w:val="2"/>
          <w:szCs w:val="36"/>
          <w:lang w:val="en-US" w:eastAsia="zh-CN" w:bidi="ar-SA"/>
        </w:rPr>
        <w:t>5.8事故环境监测与后果评估</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_Toc1113003860 </w:instrText>
      </w:r>
      <w:r>
        <w:rPr>
          <w:szCs w:val="24"/>
        </w:rPr>
        <w:fldChar w:fldCharType="separate"/>
      </w:r>
      <w:r>
        <w:rPr>
          <w:rFonts w:hint="eastAsia"/>
          <w:kern w:val="2"/>
          <w:szCs w:val="36"/>
          <w:lang w:val="en-US" w:eastAsia="zh-CN" w:bidi="ar-SA"/>
        </w:rPr>
        <w:t>5.9信息发布</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_Toc1033771717 </w:instrText>
      </w:r>
      <w:r>
        <w:rPr>
          <w:szCs w:val="24"/>
        </w:rPr>
        <w:fldChar w:fldCharType="separate"/>
      </w:r>
      <w:r>
        <w:rPr>
          <w:rFonts w:hint="eastAsia"/>
          <w:kern w:val="2"/>
          <w:szCs w:val="36"/>
          <w:lang w:val="en-US" w:eastAsia="zh-CN" w:bidi="ar-SA"/>
        </w:rPr>
        <w:t>5.10应急结束</w:t>
      </w:r>
      <w:r>
        <w:rPr>
          <w:color w:val="000000" w:themeColor="text1"/>
          <w:szCs w:val="24"/>
          <w14:textFill>
            <w14:solidFill>
              <w14:schemeClr w14:val="tx1"/>
            </w14:solidFill>
          </w14:textFill>
        </w:rPr>
        <w:fldChar w:fldCharType="end"/>
      </w:r>
    </w:p>
    <w:p>
      <w:pPr>
        <w:pStyle w:val="12"/>
        <w:tabs>
          <w:tab w:val="right" w:pos="8306"/>
        </w:tabs>
      </w:pPr>
      <w:r>
        <w:rPr>
          <w:color w:val="000000" w:themeColor="text1"/>
          <w:szCs w:val="24"/>
          <w14:textFill>
            <w14:solidFill>
              <w14:schemeClr w14:val="tx1"/>
            </w14:solidFill>
          </w14:textFill>
        </w:rPr>
        <w:fldChar w:fldCharType="begin"/>
      </w:r>
      <w:r>
        <w:rPr>
          <w:szCs w:val="24"/>
        </w:rPr>
        <w:instrText xml:space="preserve"> HYPERLINK \l _Toc658921581 </w:instrText>
      </w:r>
      <w:r>
        <w:rPr>
          <w:szCs w:val="24"/>
        </w:rPr>
        <w:fldChar w:fldCharType="separate"/>
      </w:r>
      <w:r>
        <w:rPr>
          <w:szCs w:val="48"/>
        </w:rPr>
        <w:t>6</w:t>
      </w:r>
      <w:r>
        <w:rPr>
          <w:bCs/>
          <w:szCs w:val="48"/>
        </w:rPr>
        <w:t xml:space="preserve"> </w:t>
      </w:r>
      <w:r>
        <w:rPr>
          <w:rFonts w:hint="eastAsia"/>
          <w:bCs/>
          <w:szCs w:val="48"/>
          <w:lang w:val="en-US" w:eastAsia="zh-CN"/>
        </w:rPr>
        <w:t xml:space="preserve"> </w:t>
      </w:r>
      <w:r>
        <w:rPr>
          <w:rFonts w:hint="eastAsia"/>
          <w:b/>
          <w:bCs/>
          <w:szCs w:val="48"/>
        </w:rPr>
        <w:t>后期处置</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_Toc579070663 </w:instrText>
      </w:r>
      <w:r>
        <w:rPr>
          <w:szCs w:val="24"/>
        </w:rPr>
        <w:fldChar w:fldCharType="separate"/>
      </w:r>
      <w:r>
        <w:rPr>
          <w:rFonts w:hint="eastAsia"/>
          <w:kern w:val="2"/>
          <w:szCs w:val="36"/>
          <w:lang w:val="en-US" w:eastAsia="zh-CN" w:bidi="ar-SA"/>
        </w:rPr>
        <w:t>6.1善后处理</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_Toc1432871899 </w:instrText>
      </w:r>
      <w:r>
        <w:rPr>
          <w:szCs w:val="24"/>
        </w:rPr>
        <w:fldChar w:fldCharType="separate"/>
      </w:r>
      <w:r>
        <w:rPr>
          <w:rFonts w:hint="eastAsia"/>
          <w:kern w:val="2"/>
          <w:szCs w:val="36"/>
          <w:lang w:val="en-US" w:eastAsia="zh-CN" w:bidi="ar-SA"/>
        </w:rPr>
        <w:t>6.2调查评估</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_Toc1300036092 </w:instrText>
      </w:r>
      <w:r>
        <w:rPr>
          <w:szCs w:val="24"/>
        </w:rPr>
        <w:fldChar w:fldCharType="separate"/>
      </w:r>
      <w:r>
        <w:rPr>
          <w:rFonts w:hint="eastAsia"/>
          <w:kern w:val="2"/>
          <w:szCs w:val="36"/>
          <w:lang w:val="en-US" w:eastAsia="zh-CN" w:bidi="ar-SA"/>
        </w:rPr>
        <w:t>6.3责任追究</w:t>
      </w:r>
      <w:r>
        <w:rPr>
          <w:color w:val="000000" w:themeColor="text1"/>
          <w:szCs w:val="24"/>
          <w14:textFill>
            <w14:solidFill>
              <w14:schemeClr w14:val="tx1"/>
            </w14:solidFill>
          </w14:textFill>
        </w:rPr>
        <w:fldChar w:fldCharType="end"/>
      </w:r>
    </w:p>
    <w:p>
      <w:pPr>
        <w:pStyle w:val="12"/>
        <w:tabs>
          <w:tab w:val="right" w:pos="8306"/>
        </w:tabs>
      </w:pPr>
      <w:r>
        <w:rPr>
          <w:color w:val="000000" w:themeColor="text1"/>
          <w:szCs w:val="24"/>
          <w14:textFill>
            <w14:solidFill>
              <w14:schemeClr w14:val="tx1"/>
            </w14:solidFill>
          </w14:textFill>
        </w:rPr>
        <w:fldChar w:fldCharType="begin"/>
      </w:r>
      <w:r>
        <w:rPr>
          <w:szCs w:val="24"/>
        </w:rPr>
        <w:instrText xml:space="preserve"> HYPERLINK \l _Toc96078803 </w:instrText>
      </w:r>
      <w:r>
        <w:rPr>
          <w:szCs w:val="24"/>
        </w:rPr>
        <w:fldChar w:fldCharType="separate"/>
      </w:r>
      <w:r>
        <w:rPr>
          <w:rFonts w:hint="eastAsia"/>
          <w:szCs w:val="48"/>
        </w:rPr>
        <w:t>7</w:t>
      </w:r>
      <w:r>
        <w:rPr>
          <w:bCs/>
          <w:szCs w:val="48"/>
        </w:rPr>
        <w:t xml:space="preserve">  </w:t>
      </w:r>
      <w:r>
        <w:rPr>
          <w:rFonts w:hint="eastAsia"/>
          <w:b/>
          <w:bCs/>
          <w:szCs w:val="48"/>
        </w:rPr>
        <w:t>应急保障</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_Toc2037494131 </w:instrText>
      </w:r>
      <w:r>
        <w:rPr>
          <w:szCs w:val="24"/>
        </w:rPr>
        <w:fldChar w:fldCharType="separate"/>
      </w:r>
      <w:r>
        <w:rPr>
          <w:rFonts w:hint="eastAsia"/>
          <w:kern w:val="2"/>
          <w:szCs w:val="36"/>
          <w:lang w:val="en-US" w:eastAsia="zh-CN" w:bidi="ar-SA"/>
        </w:rPr>
        <w:t>7.1队伍保障</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_Toc1625538608 </w:instrText>
      </w:r>
      <w:r>
        <w:rPr>
          <w:szCs w:val="24"/>
        </w:rPr>
        <w:fldChar w:fldCharType="separate"/>
      </w:r>
      <w:r>
        <w:rPr>
          <w:rFonts w:hint="eastAsia"/>
          <w:kern w:val="2"/>
          <w:szCs w:val="36"/>
          <w:lang w:val="en-US" w:eastAsia="zh-CN" w:bidi="ar-SA"/>
        </w:rPr>
        <w:t>7.2物资保障</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_Toc2006093289 </w:instrText>
      </w:r>
      <w:r>
        <w:rPr>
          <w:szCs w:val="24"/>
        </w:rPr>
        <w:fldChar w:fldCharType="separate"/>
      </w:r>
      <w:r>
        <w:rPr>
          <w:rFonts w:hint="eastAsia"/>
          <w:kern w:val="2"/>
          <w:szCs w:val="36"/>
          <w:lang w:val="en-US" w:eastAsia="zh-CN" w:bidi="ar-SA"/>
        </w:rPr>
        <w:t>7.3通信保障</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_Toc1049750155 </w:instrText>
      </w:r>
      <w:r>
        <w:rPr>
          <w:szCs w:val="24"/>
        </w:rPr>
        <w:fldChar w:fldCharType="separate"/>
      </w:r>
      <w:r>
        <w:rPr>
          <w:rFonts w:hint="eastAsia"/>
          <w:kern w:val="2"/>
          <w:szCs w:val="36"/>
          <w:lang w:val="en-US" w:eastAsia="zh-CN" w:bidi="ar-SA"/>
        </w:rPr>
        <w:t>7.4交通运输保障</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_Toc1949162383 </w:instrText>
      </w:r>
      <w:r>
        <w:rPr>
          <w:szCs w:val="24"/>
        </w:rPr>
        <w:fldChar w:fldCharType="separate"/>
      </w:r>
      <w:r>
        <w:rPr>
          <w:rFonts w:hint="eastAsia"/>
          <w:kern w:val="2"/>
          <w:szCs w:val="36"/>
          <w:lang w:val="en-US" w:eastAsia="zh-CN" w:bidi="ar-SA"/>
        </w:rPr>
        <w:t>7.5技术保障</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_Toc551761004 </w:instrText>
      </w:r>
      <w:r>
        <w:rPr>
          <w:szCs w:val="24"/>
        </w:rPr>
        <w:fldChar w:fldCharType="separate"/>
      </w:r>
      <w:r>
        <w:rPr>
          <w:rFonts w:hint="eastAsia"/>
          <w:kern w:val="2"/>
          <w:szCs w:val="36"/>
          <w:lang w:val="en-US" w:eastAsia="zh-CN" w:bidi="ar-SA"/>
        </w:rPr>
        <w:t>7.6医疗卫生保障</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_Toc1001366247 </w:instrText>
      </w:r>
      <w:r>
        <w:rPr>
          <w:szCs w:val="24"/>
        </w:rPr>
        <w:fldChar w:fldCharType="separate"/>
      </w:r>
      <w:r>
        <w:rPr>
          <w:rFonts w:hint="eastAsia"/>
          <w:kern w:val="2"/>
          <w:szCs w:val="36"/>
          <w:lang w:val="en-US" w:eastAsia="zh-CN" w:bidi="ar-SA"/>
        </w:rPr>
        <w:t>7.7应急处置收集场所和避险场所</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_Toc481256183 </w:instrText>
      </w:r>
      <w:r>
        <w:rPr>
          <w:szCs w:val="24"/>
        </w:rPr>
        <w:fldChar w:fldCharType="separate"/>
      </w:r>
      <w:r>
        <w:rPr>
          <w:rFonts w:hint="eastAsia"/>
          <w:bCs/>
          <w:kern w:val="2"/>
          <w:szCs w:val="36"/>
          <w:lang w:val="en-US" w:eastAsia="zh-CN" w:bidi="ar-SA"/>
        </w:rPr>
        <w:t>7.8经费保障</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_Toc1848329363 </w:instrText>
      </w:r>
      <w:r>
        <w:rPr>
          <w:szCs w:val="24"/>
        </w:rPr>
        <w:fldChar w:fldCharType="separate"/>
      </w:r>
      <w:r>
        <w:rPr>
          <w:rFonts w:hint="eastAsia"/>
          <w:bCs/>
          <w:kern w:val="2"/>
          <w:szCs w:val="36"/>
          <w:lang w:val="en-US" w:eastAsia="zh-CN" w:bidi="ar-SA"/>
        </w:rPr>
        <w:t>7.9社会动员</w:t>
      </w:r>
      <w:r>
        <w:rPr>
          <w:color w:val="000000" w:themeColor="text1"/>
          <w:szCs w:val="24"/>
          <w14:textFill>
            <w14:solidFill>
              <w14:schemeClr w14:val="tx1"/>
            </w14:solidFill>
          </w14:textFill>
        </w:rPr>
        <w:fldChar w:fldCharType="end"/>
      </w:r>
    </w:p>
    <w:p>
      <w:pPr>
        <w:pStyle w:val="12"/>
        <w:tabs>
          <w:tab w:val="right" w:pos="8306"/>
        </w:tabs>
      </w:pPr>
      <w:r>
        <w:rPr>
          <w:color w:val="000000" w:themeColor="text1"/>
          <w:szCs w:val="24"/>
          <w14:textFill>
            <w14:solidFill>
              <w14:schemeClr w14:val="tx1"/>
            </w14:solidFill>
          </w14:textFill>
        </w:rPr>
        <w:fldChar w:fldCharType="begin"/>
      </w:r>
      <w:r>
        <w:rPr>
          <w:szCs w:val="24"/>
        </w:rPr>
        <w:instrText xml:space="preserve"> HYPERLINK \l _Toc1756881236 </w:instrText>
      </w:r>
      <w:r>
        <w:rPr>
          <w:szCs w:val="24"/>
        </w:rPr>
        <w:fldChar w:fldCharType="separate"/>
      </w:r>
      <w:r>
        <w:rPr>
          <w:rFonts w:hint="eastAsia"/>
          <w:szCs w:val="48"/>
        </w:rPr>
        <w:t>8</w:t>
      </w:r>
      <w:r>
        <w:rPr>
          <w:bCs/>
          <w:szCs w:val="48"/>
        </w:rPr>
        <w:t xml:space="preserve">  </w:t>
      </w:r>
      <w:r>
        <w:rPr>
          <w:rFonts w:hint="eastAsia"/>
          <w:b/>
          <w:bCs/>
          <w:szCs w:val="48"/>
        </w:rPr>
        <w:t>预案管理</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_Toc1039887938 </w:instrText>
      </w:r>
      <w:r>
        <w:rPr>
          <w:szCs w:val="24"/>
        </w:rPr>
        <w:fldChar w:fldCharType="separate"/>
      </w:r>
      <w:r>
        <w:rPr>
          <w:rFonts w:hint="eastAsia"/>
          <w:bCs/>
          <w:kern w:val="2"/>
          <w:szCs w:val="36"/>
          <w:lang w:val="en-US" w:eastAsia="zh-CN" w:bidi="ar-SA"/>
        </w:rPr>
        <w:t>8.1宣传教育和培训</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_Toc1160545256 </w:instrText>
      </w:r>
      <w:r>
        <w:rPr>
          <w:szCs w:val="24"/>
        </w:rPr>
        <w:fldChar w:fldCharType="separate"/>
      </w:r>
      <w:r>
        <w:rPr>
          <w:rFonts w:hint="eastAsia"/>
          <w:bCs/>
          <w:kern w:val="2"/>
          <w:szCs w:val="36"/>
          <w:lang w:val="en-US" w:eastAsia="zh-CN" w:bidi="ar-SA"/>
        </w:rPr>
        <w:t>8.2预案演练</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_Toc767750570 </w:instrText>
      </w:r>
      <w:r>
        <w:rPr>
          <w:szCs w:val="24"/>
        </w:rPr>
        <w:fldChar w:fldCharType="separate"/>
      </w:r>
      <w:r>
        <w:rPr>
          <w:rFonts w:hint="eastAsia"/>
          <w:bCs/>
          <w:kern w:val="2"/>
          <w:szCs w:val="36"/>
          <w:lang w:val="en-US" w:eastAsia="zh-CN" w:bidi="ar-SA"/>
        </w:rPr>
        <w:t>8.3预案管理</w:t>
      </w:r>
      <w:r>
        <w:rPr>
          <w:color w:val="000000" w:themeColor="text1"/>
          <w:szCs w:val="24"/>
          <w14:textFill>
            <w14:solidFill>
              <w14:schemeClr w14:val="tx1"/>
            </w14:solidFill>
          </w14:textFill>
        </w:rPr>
        <w:fldChar w:fldCharType="end"/>
      </w:r>
    </w:p>
    <w:p>
      <w:pPr>
        <w:pStyle w:val="13"/>
        <w:tabs>
          <w:tab w:val="right" w:pos="8306"/>
        </w:tabs>
      </w:pPr>
      <w:r>
        <w:rPr>
          <w:color w:val="000000" w:themeColor="text1"/>
          <w:szCs w:val="24"/>
          <w14:textFill>
            <w14:solidFill>
              <w14:schemeClr w14:val="tx1"/>
            </w14:solidFill>
          </w14:textFill>
        </w:rPr>
        <w:fldChar w:fldCharType="begin"/>
      </w:r>
      <w:r>
        <w:rPr>
          <w:szCs w:val="24"/>
        </w:rPr>
        <w:instrText xml:space="preserve"> HYPERLINK \l _Toc1319195617 </w:instrText>
      </w:r>
      <w:r>
        <w:rPr>
          <w:szCs w:val="24"/>
        </w:rPr>
        <w:fldChar w:fldCharType="separate"/>
      </w:r>
      <w:r>
        <w:rPr>
          <w:rFonts w:hint="eastAsia"/>
          <w:bCs/>
          <w:kern w:val="2"/>
          <w:szCs w:val="36"/>
          <w:lang w:val="en-US" w:eastAsia="zh-CN" w:bidi="ar-SA"/>
        </w:rPr>
        <w:t>8.4预案实施</w:t>
      </w:r>
      <w:r>
        <w:rPr>
          <w:color w:val="000000" w:themeColor="text1"/>
          <w:szCs w:val="24"/>
          <w14:textFill>
            <w14:solidFill>
              <w14:schemeClr w14:val="tx1"/>
            </w14:solidFill>
          </w14:textFill>
        </w:rPr>
        <w:fldChar w:fldCharType="end"/>
      </w:r>
    </w:p>
    <w:p>
      <w:pPr>
        <w:pStyle w:val="12"/>
        <w:tabs>
          <w:tab w:val="right" w:pos="8306"/>
        </w:tabs>
        <w:rPr>
          <w:highlight w:val="none"/>
        </w:rPr>
      </w:pPr>
      <w:r>
        <w:rPr>
          <w:color w:val="000000" w:themeColor="text1"/>
          <w:szCs w:val="24"/>
          <w14:textFill>
            <w14:solidFill>
              <w14:schemeClr w14:val="tx1"/>
            </w14:solidFill>
          </w14:textFill>
        </w:rPr>
        <w:fldChar w:fldCharType="begin"/>
      </w:r>
      <w:r>
        <w:rPr>
          <w:szCs w:val="24"/>
        </w:rPr>
        <w:instrText xml:space="preserve"> HYPERLINK \l _Toc924771822 </w:instrText>
      </w:r>
      <w:r>
        <w:rPr>
          <w:szCs w:val="24"/>
        </w:rPr>
        <w:fldChar w:fldCharType="separate"/>
      </w:r>
      <w:r>
        <w:rPr>
          <w:szCs w:val="48"/>
        </w:rPr>
        <w:t xml:space="preserve">9  </w:t>
      </w:r>
      <w:r>
        <w:rPr>
          <w:b/>
          <w:bCs/>
          <w:szCs w:val="48"/>
          <w:highlight w:val="none"/>
        </w:rPr>
        <w:t>附件</w:t>
      </w:r>
      <w:r>
        <w:rPr>
          <w:color w:val="000000" w:themeColor="text1"/>
          <w:szCs w:val="24"/>
          <w:highlight w:val="none"/>
          <w14:textFill>
            <w14:solidFill>
              <w14:schemeClr w14:val="tx1"/>
            </w14:solidFill>
          </w14:textFill>
        </w:rPr>
        <w:fldChar w:fldCharType="end"/>
      </w:r>
    </w:p>
    <w:p>
      <w:pPr>
        <w:pStyle w:val="12"/>
        <w:tabs>
          <w:tab w:val="right" w:pos="8306"/>
        </w:tabs>
        <w:ind w:firstLine="1200" w:firstLineChars="400"/>
        <w:rPr>
          <w:rFonts w:hint="eastAsia" w:ascii="仿宋" w:hAnsi="仿宋" w:eastAsia="仿宋" w:cs="仿宋"/>
        </w:rPr>
      </w:pPr>
      <w:r>
        <w:rPr>
          <w:rFonts w:hint="eastAsia" w:ascii="仿宋" w:hAnsi="仿宋" w:eastAsia="仿宋" w:cs="仿宋"/>
          <w:color w:val="000000" w:themeColor="text1"/>
          <w:szCs w:val="24"/>
          <w:highlight w:val="none"/>
          <w14:textFill>
            <w14:solidFill>
              <w14:schemeClr w14:val="tx1"/>
            </w14:solidFill>
          </w14:textFill>
        </w:rPr>
        <w:fldChar w:fldCharType="begin"/>
      </w:r>
      <w:r>
        <w:rPr>
          <w:rFonts w:hint="eastAsia" w:ascii="仿宋" w:hAnsi="仿宋" w:eastAsia="仿宋" w:cs="仿宋"/>
          <w:szCs w:val="24"/>
          <w:highlight w:val="none"/>
        </w:rPr>
        <w:instrText xml:space="preserve"> HYPERLINK \l _Toc2012182422 </w:instrText>
      </w:r>
      <w:r>
        <w:rPr>
          <w:rFonts w:hint="eastAsia" w:ascii="仿宋" w:hAnsi="仿宋" w:eastAsia="仿宋" w:cs="仿宋"/>
          <w:szCs w:val="24"/>
          <w:highlight w:val="none"/>
        </w:rPr>
        <w:fldChar w:fldCharType="separate"/>
      </w:r>
      <w:r>
        <w:rPr>
          <w:rFonts w:hint="eastAsia" w:ascii="仿宋" w:hAnsi="仿宋" w:eastAsia="仿宋" w:cs="仿宋"/>
          <w:szCs w:val="36"/>
          <w:highlight w:val="none"/>
        </w:rPr>
        <w:t>附件</w:t>
      </w:r>
      <w:r>
        <w:rPr>
          <w:rFonts w:hint="eastAsia" w:ascii="仿宋" w:hAnsi="仿宋" w:eastAsia="仿宋" w:cs="仿宋"/>
          <w:szCs w:val="36"/>
          <w:lang w:val="en-US" w:eastAsia="zh-CN"/>
        </w:rPr>
        <w:t>1</w:t>
      </w:r>
      <w:r>
        <w:rPr>
          <w:rFonts w:hint="eastAsia" w:ascii="仿宋" w:hAnsi="仿宋" w:eastAsia="仿宋" w:cs="仿宋"/>
          <w:szCs w:val="36"/>
        </w:rPr>
        <w:t>：杭州市危险化学品事故现场指挥部设置图</w:t>
      </w:r>
      <w:r>
        <w:rPr>
          <w:rFonts w:hint="eastAsia" w:ascii="仿宋" w:hAnsi="仿宋" w:eastAsia="仿宋" w:cs="仿宋"/>
          <w:color w:val="000000" w:themeColor="text1"/>
          <w:szCs w:val="24"/>
          <w14:textFill>
            <w14:solidFill>
              <w14:schemeClr w14:val="tx1"/>
            </w14:solidFill>
          </w14:textFill>
        </w:rPr>
        <w:fldChar w:fldCharType="end"/>
      </w:r>
    </w:p>
    <w:p>
      <w:pPr>
        <w:pStyle w:val="13"/>
        <w:tabs>
          <w:tab w:val="right" w:pos="8306"/>
        </w:tabs>
        <w:rPr>
          <w:rFonts w:hint="eastAsia" w:ascii="仿宋" w:hAnsi="仿宋" w:eastAsia="仿宋" w:cs="仿宋"/>
        </w:rPr>
      </w:pPr>
      <w:r>
        <w:rPr>
          <w:rFonts w:hint="eastAsia" w:ascii="仿宋" w:hAnsi="仿宋" w:eastAsia="仿宋" w:cs="仿宋"/>
          <w:color w:val="000000" w:themeColor="text1"/>
          <w:szCs w:val="24"/>
          <w14:textFill>
            <w14:solidFill>
              <w14:schemeClr w14:val="tx1"/>
            </w14:solidFill>
          </w14:textFill>
        </w:rPr>
        <w:fldChar w:fldCharType="begin"/>
      </w:r>
      <w:r>
        <w:rPr>
          <w:rFonts w:hint="eastAsia" w:ascii="仿宋" w:hAnsi="仿宋" w:eastAsia="仿宋" w:cs="仿宋"/>
          <w:szCs w:val="24"/>
        </w:rPr>
        <w:instrText xml:space="preserve"> HYPERLINK \l _Toc2088023612 </w:instrText>
      </w:r>
      <w:r>
        <w:rPr>
          <w:rFonts w:hint="eastAsia" w:ascii="仿宋" w:hAnsi="仿宋" w:eastAsia="仿宋" w:cs="仿宋"/>
          <w:szCs w:val="24"/>
        </w:rPr>
        <w:fldChar w:fldCharType="separate"/>
      </w:r>
      <w:r>
        <w:rPr>
          <w:rFonts w:hint="eastAsia" w:ascii="仿宋" w:hAnsi="仿宋" w:eastAsia="仿宋" w:cs="仿宋"/>
          <w:szCs w:val="36"/>
        </w:rPr>
        <w:t>附件</w:t>
      </w:r>
      <w:r>
        <w:rPr>
          <w:rFonts w:hint="eastAsia" w:ascii="仿宋" w:hAnsi="仿宋" w:eastAsia="仿宋" w:cs="仿宋"/>
          <w:szCs w:val="36"/>
          <w:lang w:val="en-US" w:eastAsia="zh-CN"/>
        </w:rPr>
        <w:t>2</w:t>
      </w:r>
      <w:r>
        <w:rPr>
          <w:rFonts w:hint="eastAsia" w:ascii="仿宋" w:hAnsi="仿宋" w:eastAsia="仿宋" w:cs="仿宋"/>
          <w:szCs w:val="36"/>
        </w:rPr>
        <w:t>：杭州市危险化学品事故现场指挥部各工作组职责分工一览表</w:t>
      </w:r>
      <w:r>
        <w:rPr>
          <w:rFonts w:hint="eastAsia" w:ascii="仿宋" w:hAnsi="仿宋" w:eastAsia="仿宋" w:cs="仿宋"/>
          <w:color w:val="000000" w:themeColor="text1"/>
          <w:szCs w:val="24"/>
          <w14:textFill>
            <w14:solidFill>
              <w14:schemeClr w14:val="tx1"/>
            </w14:solidFill>
          </w14:textFill>
        </w:rPr>
        <w:fldChar w:fldCharType="end"/>
      </w:r>
    </w:p>
    <w:p>
      <w:pPr>
        <w:pStyle w:val="13"/>
        <w:tabs>
          <w:tab w:val="right" w:pos="8306"/>
        </w:tabs>
        <w:rPr>
          <w:rFonts w:hint="eastAsia" w:ascii="仿宋" w:hAnsi="仿宋" w:eastAsia="仿宋" w:cs="仿宋"/>
        </w:rPr>
      </w:pPr>
      <w:r>
        <w:rPr>
          <w:rFonts w:hint="eastAsia" w:ascii="仿宋" w:hAnsi="仿宋" w:eastAsia="仿宋" w:cs="仿宋"/>
          <w:color w:val="000000" w:themeColor="text1"/>
          <w:szCs w:val="24"/>
          <w14:textFill>
            <w14:solidFill>
              <w14:schemeClr w14:val="tx1"/>
            </w14:solidFill>
          </w14:textFill>
        </w:rPr>
        <w:fldChar w:fldCharType="begin"/>
      </w:r>
      <w:r>
        <w:rPr>
          <w:rFonts w:hint="eastAsia" w:ascii="仿宋" w:hAnsi="仿宋" w:eastAsia="仿宋" w:cs="仿宋"/>
          <w:szCs w:val="24"/>
        </w:rPr>
        <w:instrText xml:space="preserve"> HYPERLINK \l _Toc1294967450 </w:instrText>
      </w:r>
      <w:r>
        <w:rPr>
          <w:rFonts w:hint="eastAsia" w:ascii="仿宋" w:hAnsi="仿宋" w:eastAsia="仿宋" w:cs="仿宋"/>
          <w:szCs w:val="24"/>
        </w:rPr>
        <w:fldChar w:fldCharType="separate"/>
      </w:r>
      <w:r>
        <w:rPr>
          <w:rFonts w:hint="eastAsia" w:ascii="仿宋" w:hAnsi="仿宋" w:eastAsia="仿宋" w:cs="仿宋"/>
          <w:szCs w:val="36"/>
        </w:rPr>
        <w:t xml:space="preserve">附件 </w:t>
      </w:r>
      <w:r>
        <w:rPr>
          <w:rFonts w:hint="eastAsia" w:ascii="仿宋" w:hAnsi="仿宋" w:eastAsia="仿宋" w:cs="仿宋"/>
          <w:szCs w:val="36"/>
          <w:lang w:val="en-US" w:eastAsia="zh-CN"/>
        </w:rPr>
        <w:t>3</w:t>
      </w:r>
      <w:r>
        <w:rPr>
          <w:rFonts w:hint="eastAsia" w:ascii="仿宋" w:hAnsi="仿宋" w:eastAsia="仿宋" w:cs="仿宋"/>
          <w:szCs w:val="36"/>
        </w:rPr>
        <w:t>：杭州市危险化学品事故应急指挥部专家组名单</w:t>
      </w:r>
      <w:r>
        <w:rPr>
          <w:rFonts w:hint="eastAsia" w:ascii="仿宋" w:hAnsi="仿宋" w:eastAsia="仿宋" w:cs="仿宋"/>
          <w:color w:val="000000" w:themeColor="text1"/>
          <w:szCs w:val="24"/>
          <w14:textFill>
            <w14:solidFill>
              <w14:schemeClr w14:val="tx1"/>
            </w14:solidFill>
          </w14:textFill>
        </w:rPr>
        <w:fldChar w:fldCharType="end"/>
      </w:r>
    </w:p>
    <w:p>
      <w:pPr>
        <w:pStyle w:val="13"/>
        <w:tabs>
          <w:tab w:val="right" w:pos="8306"/>
        </w:tabs>
        <w:rPr>
          <w:rFonts w:hint="eastAsia" w:ascii="仿宋" w:hAnsi="仿宋" w:eastAsia="仿宋" w:cs="仿宋"/>
        </w:rPr>
      </w:pPr>
      <w:r>
        <w:rPr>
          <w:rFonts w:hint="eastAsia" w:ascii="仿宋" w:hAnsi="仿宋" w:eastAsia="仿宋" w:cs="仿宋"/>
          <w:color w:val="000000" w:themeColor="text1"/>
          <w:szCs w:val="24"/>
          <w14:textFill>
            <w14:solidFill>
              <w14:schemeClr w14:val="tx1"/>
            </w14:solidFill>
          </w14:textFill>
        </w:rPr>
        <w:fldChar w:fldCharType="begin"/>
      </w:r>
      <w:r>
        <w:rPr>
          <w:rFonts w:hint="eastAsia" w:ascii="仿宋" w:hAnsi="仿宋" w:eastAsia="仿宋" w:cs="仿宋"/>
          <w:szCs w:val="24"/>
        </w:rPr>
        <w:instrText xml:space="preserve"> HYPERLINK \l _Toc384482386 </w:instrText>
      </w:r>
      <w:r>
        <w:rPr>
          <w:rFonts w:hint="eastAsia" w:ascii="仿宋" w:hAnsi="仿宋" w:eastAsia="仿宋" w:cs="仿宋"/>
          <w:szCs w:val="24"/>
        </w:rPr>
        <w:fldChar w:fldCharType="separate"/>
      </w:r>
      <w:r>
        <w:rPr>
          <w:rFonts w:hint="eastAsia" w:ascii="仿宋" w:hAnsi="仿宋" w:eastAsia="仿宋" w:cs="仿宋"/>
          <w:szCs w:val="36"/>
        </w:rPr>
        <w:t xml:space="preserve">附件 </w:t>
      </w:r>
      <w:r>
        <w:rPr>
          <w:rFonts w:hint="eastAsia" w:ascii="仿宋" w:hAnsi="仿宋" w:eastAsia="仿宋" w:cs="仿宋"/>
          <w:szCs w:val="36"/>
          <w:lang w:val="en-US" w:eastAsia="zh-CN"/>
        </w:rPr>
        <w:t>4</w:t>
      </w:r>
      <w:r>
        <w:rPr>
          <w:rFonts w:hint="eastAsia" w:ascii="仿宋" w:hAnsi="仿宋" w:eastAsia="仿宋" w:cs="仿宋"/>
          <w:szCs w:val="36"/>
        </w:rPr>
        <w:t>：杭州市危险化学品事故主要应急救援队伍信息表</w:t>
      </w:r>
      <w:r>
        <w:rPr>
          <w:rFonts w:hint="eastAsia" w:ascii="仿宋" w:hAnsi="仿宋" w:eastAsia="仿宋" w:cs="仿宋"/>
          <w:color w:val="000000" w:themeColor="text1"/>
          <w:szCs w:val="24"/>
          <w14:textFill>
            <w14:solidFill>
              <w14:schemeClr w14:val="tx1"/>
            </w14:solidFill>
          </w14:textFill>
        </w:rPr>
        <w:fldChar w:fldCharType="end"/>
      </w:r>
    </w:p>
    <w:p>
      <w:pPr>
        <w:pStyle w:val="13"/>
        <w:tabs>
          <w:tab w:val="right" w:pos="8306"/>
        </w:tabs>
        <w:rPr>
          <w:rFonts w:hint="eastAsia" w:ascii="仿宋" w:hAnsi="仿宋" w:eastAsia="仿宋" w:cs="仿宋"/>
        </w:rPr>
      </w:pPr>
      <w:r>
        <w:rPr>
          <w:rFonts w:hint="eastAsia" w:ascii="仿宋" w:hAnsi="仿宋" w:eastAsia="仿宋" w:cs="仿宋"/>
          <w:color w:val="000000" w:themeColor="text1"/>
          <w:szCs w:val="24"/>
          <w14:textFill>
            <w14:solidFill>
              <w14:schemeClr w14:val="tx1"/>
            </w14:solidFill>
          </w14:textFill>
        </w:rPr>
        <w:fldChar w:fldCharType="begin"/>
      </w:r>
      <w:r>
        <w:rPr>
          <w:rFonts w:hint="eastAsia" w:ascii="仿宋" w:hAnsi="仿宋" w:eastAsia="仿宋" w:cs="仿宋"/>
          <w:szCs w:val="24"/>
        </w:rPr>
        <w:instrText xml:space="preserve"> HYPERLINK \l _Toc2045676074 </w:instrText>
      </w:r>
      <w:r>
        <w:rPr>
          <w:rFonts w:hint="eastAsia" w:ascii="仿宋" w:hAnsi="仿宋" w:eastAsia="仿宋" w:cs="仿宋"/>
          <w:szCs w:val="24"/>
        </w:rPr>
        <w:fldChar w:fldCharType="separate"/>
      </w:r>
      <w:r>
        <w:rPr>
          <w:rFonts w:hint="eastAsia" w:ascii="仿宋" w:hAnsi="仿宋" w:eastAsia="仿宋" w:cs="仿宋"/>
          <w:szCs w:val="36"/>
        </w:rPr>
        <w:t>附件</w:t>
      </w:r>
      <w:r>
        <w:rPr>
          <w:rFonts w:hint="eastAsia" w:ascii="仿宋" w:hAnsi="仿宋" w:eastAsia="仿宋" w:cs="仿宋"/>
          <w:szCs w:val="36"/>
          <w:lang w:val="en-US" w:eastAsia="zh-CN"/>
        </w:rPr>
        <w:t xml:space="preserve"> 5</w:t>
      </w:r>
      <w:r>
        <w:rPr>
          <w:rFonts w:hint="eastAsia" w:ascii="仿宋" w:hAnsi="仿宋" w:eastAsia="仿宋" w:cs="仿宋"/>
          <w:szCs w:val="36"/>
        </w:rPr>
        <w:t>：杭州市危险化学品事故应急响应流程图</w:t>
      </w:r>
      <w:r>
        <w:rPr>
          <w:rFonts w:hint="eastAsia" w:ascii="仿宋" w:hAnsi="仿宋" w:eastAsia="仿宋" w:cs="仿宋"/>
          <w:color w:val="000000" w:themeColor="text1"/>
          <w:szCs w:val="24"/>
          <w14:textFill>
            <w14:solidFill>
              <w14:schemeClr w14:val="tx1"/>
            </w14:solidFill>
          </w14:textFill>
        </w:rPr>
        <w:fldChar w:fldCharType="end"/>
      </w:r>
    </w:p>
    <w:p>
      <w:pPr>
        <w:pStyle w:val="13"/>
        <w:tabs>
          <w:tab w:val="right" w:pos="8306"/>
        </w:tabs>
        <w:ind w:left="0" w:leftChars="0" w:firstLine="640" w:firstLineChars="200"/>
        <w:rPr>
          <w:color w:val="000000" w:themeColor="text1"/>
          <w:sz w:val="32"/>
          <w:szCs w:val="24"/>
          <w14:textFill>
            <w14:solidFill>
              <w14:schemeClr w14:val="tx1"/>
            </w14:solidFill>
          </w14:textFill>
        </w:rPr>
      </w:pPr>
      <w:r>
        <w:rPr>
          <w:color w:val="000000" w:themeColor="text1"/>
          <w:sz w:val="32"/>
          <w:szCs w:val="24"/>
          <w14:textFill>
            <w14:solidFill>
              <w14:schemeClr w14:val="tx1"/>
            </w14:solidFill>
          </w14:textFill>
        </w:rPr>
        <w:fldChar w:fldCharType="end"/>
      </w:r>
    </w:p>
    <w:p>
      <w:pPr>
        <w:widowControl/>
        <w:ind w:firstLine="0" w:firstLineChars="0"/>
        <w:rPr>
          <w:color w:val="000000" w:themeColor="text1"/>
          <w:sz w:val="32"/>
          <w:szCs w:val="24"/>
          <w14:textFill>
            <w14:solidFill>
              <w14:schemeClr w14:val="tx1"/>
            </w14:solidFill>
          </w14:textFill>
        </w:rPr>
      </w:pPr>
    </w:p>
    <w:p>
      <w:pPr>
        <w:ind w:firstLine="720" w:firstLineChars="200"/>
        <w:rPr>
          <w:rFonts w:hint="eastAsia"/>
          <w:color w:val="000000" w:themeColor="text1"/>
          <w:sz w:val="36"/>
          <w:szCs w:val="48"/>
          <w14:textFill>
            <w14:solidFill>
              <w14:schemeClr w14:val="tx1"/>
            </w14:solidFill>
          </w14:textFill>
        </w:rPr>
      </w:pPr>
      <w:bookmarkStart w:id="0" w:name="_Toc1229890649"/>
      <w:bookmarkStart w:id="1" w:name="_Toc18818241"/>
      <w:bookmarkStart w:id="2" w:name="_Toc1476333966"/>
      <w:r>
        <w:rPr>
          <w:rFonts w:hint="eastAsia"/>
          <w:color w:val="000000" w:themeColor="text1"/>
          <w:sz w:val="36"/>
          <w:szCs w:val="48"/>
          <w14:textFill>
            <w14:solidFill>
              <w14:schemeClr w14:val="tx1"/>
            </w14:solidFill>
          </w14:textFill>
        </w:rPr>
        <w:br w:type="page"/>
      </w:r>
    </w:p>
    <w:p>
      <w:pPr>
        <w:pStyle w:val="3"/>
        <w:ind w:firstLine="722" w:firstLineChars="200"/>
        <w:rPr>
          <w:rFonts w:hint="eastAsia" w:ascii="仿宋" w:hAnsi="仿宋" w:eastAsia="仿宋" w:cs="仿宋"/>
          <w:color w:val="000000" w:themeColor="text1"/>
          <w:sz w:val="36"/>
          <w:szCs w:val="48"/>
          <w14:textFill>
            <w14:solidFill>
              <w14:schemeClr w14:val="tx1"/>
            </w14:solidFill>
          </w14:textFill>
        </w:rPr>
      </w:pPr>
      <w:bookmarkStart w:id="3" w:name="_Toc1664491787"/>
      <w:bookmarkStart w:id="4" w:name="_Toc534322869"/>
      <w:bookmarkStart w:id="5" w:name="_Toc194581363"/>
      <w:bookmarkStart w:id="6" w:name="_Toc1703577597"/>
      <w:r>
        <w:rPr>
          <w:rFonts w:hint="eastAsia" w:ascii="仿宋" w:hAnsi="仿宋" w:eastAsia="仿宋" w:cs="仿宋"/>
          <w:color w:val="000000" w:themeColor="text1"/>
          <w:sz w:val="36"/>
          <w:szCs w:val="48"/>
          <w14:textFill>
            <w14:solidFill>
              <w14:schemeClr w14:val="tx1"/>
            </w14:solidFill>
          </w14:textFill>
        </w:rPr>
        <w:t>1  总则</w:t>
      </w:r>
      <w:bookmarkEnd w:id="0"/>
      <w:bookmarkEnd w:id="1"/>
      <w:bookmarkEnd w:id="2"/>
      <w:bookmarkEnd w:id="3"/>
      <w:bookmarkEnd w:id="4"/>
      <w:bookmarkEnd w:id="5"/>
      <w:bookmarkEnd w:id="6"/>
    </w:p>
    <w:p>
      <w:pPr>
        <w:pStyle w:val="4"/>
        <w:ind w:firstLine="642" w:firstLineChars="200"/>
        <w:rPr>
          <w:rFonts w:hint="eastAsia" w:ascii="仿宋" w:hAnsi="仿宋" w:eastAsia="仿宋" w:cs="仿宋"/>
          <w:color w:val="000000" w:themeColor="text1"/>
          <w:sz w:val="32"/>
          <w:szCs w:val="36"/>
          <w14:textFill>
            <w14:solidFill>
              <w14:schemeClr w14:val="tx1"/>
            </w14:solidFill>
          </w14:textFill>
        </w:rPr>
      </w:pPr>
      <w:bookmarkStart w:id="7" w:name="_Toc72698034"/>
      <w:bookmarkStart w:id="8" w:name="_Toc18818242"/>
      <w:bookmarkStart w:id="9" w:name="_Toc997223901"/>
      <w:bookmarkStart w:id="10" w:name="_Toc372799639"/>
      <w:bookmarkStart w:id="11" w:name="_Toc349595392"/>
      <w:bookmarkStart w:id="12" w:name="_Toc1067696594"/>
      <w:bookmarkStart w:id="13" w:name="_Toc604622231"/>
      <w:r>
        <w:rPr>
          <w:rStyle w:val="23"/>
          <w:rFonts w:hint="eastAsia" w:ascii="仿宋" w:hAnsi="仿宋" w:eastAsia="仿宋" w:cs="仿宋"/>
          <w:b/>
          <w:bCs/>
          <w:color w:val="000000" w:themeColor="text1"/>
          <w:sz w:val="32"/>
          <w:szCs w:val="36"/>
          <w14:textFill>
            <w14:solidFill>
              <w14:schemeClr w14:val="tx1"/>
            </w14:solidFill>
          </w14:textFill>
        </w:rPr>
        <w:t>1.1编制目的</w:t>
      </w:r>
      <w:bookmarkEnd w:id="7"/>
      <w:bookmarkEnd w:id="8"/>
      <w:bookmarkEnd w:id="9"/>
      <w:bookmarkEnd w:id="10"/>
      <w:bookmarkEnd w:id="11"/>
      <w:bookmarkEnd w:id="12"/>
      <w:bookmarkEnd w:id="13"/>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规范</w:t>
      </w:r>
      <w:r>
        <w:rPr>
          <w:rFonts w:hint="eastAsia" w:ascii="仿宋" w:hAnsi="仿宋" w:eastAsia="仿宋" w:cs="仿宋"/>
          <w:color w:val="000000" w:themeColor="text1"/>
          <w:sz w:val="32"/>
          <w:szCs w:val="24"/>
          <w:lang w:eastAsia="zh-CN"/>
          <w14:textFill>
            <w14:solidFill>
              <w14:schemeClr w14:val="tx1"/>
            </w14:solidFill>
          </w14:textFill>
        </w:rPr>
        <w:t>杭州市</w:t>
      </w:r>
      <w:r>
        <w:rPr>
          <w:rFonts w:hint="eastAsia" w:ascii="仿宋" w:hAnsi="仿宋" w:eastAsia="仿宋" w:cs="仿宋"/>
          <w:color w:val="000000" w:themeColor="text1"/>
          <w:sz w:val="32"/>
          <w:szCs w:val="24"/>
          <w14:textFill>
            <w14:solidFill>
              <w14:schemeClr w14:val="tx1"/>
            </w14:solidFill>
          </w14:textFill>
        </w:rPr>
        <w:t>危险化学品事故应急</w:t>
      </w:r>
      <w:r>
        <w:rPr>
          <w:rFonts w:hint="eastAsia" w:ascii="仿宋" w:hAnsi="仿宋" w:eastAsia="仿宋" w:cs="仿宋"/>
          <w:color w:val="000000" w:themeColor="text1"/>
          <w:sz w:val="32"/>
          <w:szCs w:val="24"/>
          <w:lang w:eastAsia="zh-CN"/>
          <w14:textFill>
            <w14:solidFill>
              <w14:schemeClr w14:val="tx1"/>
            </w14:solidFill>
          </w14:textFill>
        </w:rPr>
        <w:t>处置和分级响应</w:t>
      </w:r>
      <w:r>
        <w:rPr>
          <w:rFonts w:hint="eastAsia" w:ascii="仿宋" w:hAnsi="仿宋" w:eastAsia="仿宋" w:cs="仿宋"/>
          <w:color w:val="000000" w:themeColor="text1"/>
          <w:sz w:val="32"/>
          <w:szCs w:val="24"/>
          <w14:textFill>
            <w14:solidFill>
              <w14:schemeClr w14:val="tx1"/>
            </w14:solidFill>
          </w14:textFill>
        </w:rPr>
        <w:t>，科学、及时有效地实施应急救援，最大</w:t>
      </w:r>
      <w:r>
        <w:rPr>
          <w:rFonts w:hint="eastAsia" w:ascii="仿宋" w:hAnsi="仿宋" w:eastAsia="仿宋" w:cs="仿宋"/>
          <w:color w:val="000000" w:themeColor="text1"/>
          <w:sz w:val="32"/>
          <w:szCs w:val="24"/>
          <w:lang w:eastAsia="zh-CN"/>
          <w14:textFill>
            <w14:solidFill>
              <w14:schemeClr w14:val="tx1"/>
            </w14:solidFill>
          </w14:textFill>
        </w:rPr>
        <w:t>程度地</w:t>
      </w:r>
      <w:r>
        <w:rPr>
          <w:rFonts w:hint="eastAsia" w:ascii="仿宋" w:hAnsi="仿宋" w:eastAsia="仿宋" w:cs="仿宋"/>
          <w:color w:val="000000" w:themeColor="text1"/>
          <w:sz w:val="32"/>
          <w:szCs w:val="24"/>
          <w14:textFill>
            <w14:solidFill>
              <w14:schemeClr w14:val="tx1"/>
            </w14:solidFill>
          </w14:textFill>
        </w:rPr>
        <w:t>减少人员伤亡和财产损失，维护</w:t>
      </w:r>
      <w:r>
        <w:rPr>
          <w:rFonts w:hint="eastAsia" w:ascii="仿宋" w:hAnsi="仿宋" w:eastAsia="仿宋" w:cs="仿宋"/>
          <w:color w:val="000000" w:themeColor="text1"/>
          <w:sz w:val="32"/>
          <w:szCs w:val="24"/>
          <w:lang w:eastAsia="zh-CN"/>
          <w14:textFill>
            <w14:solidFill>
              <w14:schemeClr w14:val="tx1"/>
            </w14:solidFill>
          </w14:textFill>
        </w:rPr>
        <w:t>人民群众的生命安全和</w:t>
      </w:r>
      <w:r>
        <w:rPr>
          <w:rFonts w:hint="eastAsia" w:ascii="仿宋" w:hAnsi="仿宋" w:eastAsia="仿宋" w:cs="仿宋"/>
          <w:color w:val="000000" w:themeColor="text1"/>
          <w:sz w:val="32"/>
          <w:szCs w:val="24"/>
          <w14:textFill>
            <w14:solidFill>
              <w14:schemeClr w14:val="tx1"/>
            </w14:solidFill>
          </w14:textFill>
        </w:rPr>
        <w:t>社会稳定。</w:t>
      </w:r>
    </w:p>
    <w:p>
      <w:pPr>
        <w:pStyle w:val="4"/>
        <w:ind w:firstLine="642" w:firstLineChars="200"/>
        <w:rPr>
          <w:rFonts w:hint="eastAsia" w:ascii="仿宋" w:hAnsi="仿宋" w:eastAsia="仿宋" w:cs="仿宋"/>
          <w:color w:val="000000" w:themeColor="text1"/>
          <w:sz w:val="32"/>
          <w:szCs w:val="36"/>
          <w14:textFill>
            <w14:solidFill>
              <w14:schemeClr w14:val="tx1"/>
            </w14:solidFill>
          </w14:textFill>
        </w:rPr>
      </w:pPr>
      <w:bookmarkStart w:id="14" w:name="_Toc1787597189"/>
      <w:bookmarkStart w:id="15" w:name="_Toc1742383606"/>
      <w:bookmarkStart w:id="16" w:name="_Toc906161513"/>
      <w:bookmarkStart w:id="17" w:name="_Toc313733254"/>
      <w:bookmarkStart w:id="18" w:name="_Toc205660712"/>
      <w:bookmarkStart w:id="19" w:name="_Toc18818243"/>
      <w:bookmarkStart w:id="20" w:name="_Toc325502516"/>
      <w:r>
        <w:rPr>
          <w:rFonts w:hint="eastAsia" w:ascii="仿宋" w:hAnsi="仿宋" w:eastAsia="仿宋" w:cs="仿宋"/>
          <w:color w:val="000000" w:themeColor="text1"/>
          <w:sz w:val="32"/>
          <w:szCs w:val="36"/>
          <w14:textFill>
            <w14:solidFill>
              <w14:schemeClr w14:val="tx1"/>
            </w14:solidFill>
          </w14:textFill>
        </w:rPr>
        <w:t>1.2编制依据</w:t>
      </w:r>
      <w:bookmarkEnd w:id="14"/>
      <w:bookmarkEnd w:id="15"/>
      <w:bookmarkEnd w:id="16"/>
      <w:bookmarkEnd w:id="17"/>
      <w:bookmarkEnd w:id="18"/>
      <w:bookmarkEnd w:id="19"/>
      <w:bookmarkEnd w:id="20"/>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本预案依据《中华人民共和国安全生产法》《中华人民共和国突发事件应对法》《生产安全事故报告和调查处理条例》《危险化学品安全管理条例》《生产安全事故应急条例》《浙江省安全生产条例》《生产安全事故应急预案管理办法》《浙江省危险化学品事故应急预案》《生产安全事故信息报告和处置办法》</w:t>
      </w:r>
      <w:r>
        <w:rPr>
          <w:rFonts w:hint="eastAsia" w:ascii="仿宋" w:hAnsi="仿宋" w:eastAsia="仿宋" w:cs="仿宋"/>
          <w:color w:val="000000" w:themeColor="text1"/>
          <w:sz w:val="32"/>
          <w:szCs w:val="24"/>
          <w:lang w:eastAsia="zh-CN"/>
          <w14:textFill>
            <w14:solidFill>
              <w14:schemeClr w14:val="tx1"/>
            </w14:solidFill>
          </w14:textFill>
        </w:rPr>
        <w:t>《</w:t>
      </w:r>
      <w:r>
        <w:rPr>
          <w:rFonts w:hint="eastAsia" w:ascii="仿宋" w:hAnsi="仿宋" w:eastAsia="仿宋" w:cs="仿宋"/>
          <w:color w:val="000000" w:themeColor="text1"/>
          <w:sz w:val="32"/>
          <w:szCs w:val="24"/>
          <w14:textFill>
            <w14:solidFill>
              <w14:schemeClr w14:val="tx1"/>
            </w14:solidFill>
          </w14:textFill>
        </w:rPr>
        <w:t>杭州市突发事件总体应急预案</w:t>
      </w:r>
      <w:r>
        <w:rPr>
          <w:rFonts w:hint="eastAsia" w:ascii="仿宋" w:hAnsi="仿宋" w:eastAsia="仿宋" w:cs="仿宋"/>
          <w:color w:val="000000" w:themeColor="text1"/>
          <w:sz w:val="32"/>
          <w:szCs w:val="24"/>
          <w:lang w:eastAsia="zh-CN"/>
          <w14:textFill>
            <w14:solidFill>
              <w14:schemeClr w14:val="tx1"/>
            </w14:solidFill>
          </w14:textFill>
        </w:rPr>
        <w:t>》</w:t>
      </w:r>
      <w:r>
        <w:rPr>
          <w:rFonts w:hint="eastAsia" w:ascii="仿宋" w:hAnsi="仿宋" w:eastAsia="仿宋" w:cs="仿宋"/>
          <w:color w:val="000000" w:themeColor="text1"/>
          <w:sz w:val="32"/>
          <w:szCs w:val="24"/>
          <w14:textFill>
            <w14:solidFill>
              <w14:schemeClr w14:val="tx1"/>
            </w14:solidFill>
          </w14:textFill>
        </w:rPr>
        <w:t>《杭州市突发事件应急预案管理实施办法（试行）》《生产安全事故应急处置评估暂行办法》等法律、法规、规章和规范性文件编制。</w:t>
      </w:r>
    </w:p>
    <w:p>
      <w:pPr>
        <w:pStyle w:val="4"/>
        <w:ind w:firstLine="642" w:firstLineChars="200"/>
        <w:rPr>
          <w:rStyle w:val="23"/>
          <w:rFonts w:hint="eastAsia" w:ascii="仿宋" w:hAnsi="仿宋" w:eastAsia="仿宋" w:cs="仿宋"/>
          <w:b/>
          <w:bCs/>
          <w:color w:val="000000" w:themeColor="text1"/>
          <w:sz w:val="32"/>
          <w:szCs w:val="36"/>
          <w14:textFill>
            <w14:solidFill>
              <w14:schemeClr w14:val="tx1"/>
            </w14:solidFill>
          </w14:textFill>
        </w:rPr>
      </w:pPr>
      <w:bookmarkStart w:id="21" w:name="_Toc1388941086"/>
      <w:bookmarkStart w:id="22" w:name="_Toc1883465295"/>
      <w:bookmarkStart w:id="23" w:name="_Toc685097825"/>
      <w:bookmarkStart w:id="24" w:name="_Toc18818244"/>
      <w:bookmarkStart w:id="25" w:name="_Toc1910014486"/>
      <w:bookmarkStart w:id="26" w:name="_Toc1170419149"/>
      <w:bookmarkStart w:id="27" w:name="_Toc714052369"/>
      <w:r>
        <w:rPr>
          <w:rStyle w:val="23"/>
          <w:rFonts w:hint="eastAsia" w:ascii="仿宋" w:hAnsi="仿宋" w:eastAsia="仿宋" w:cs="仿宋"/>
          <w:b/>
          <w:bCs/>
          <w:color w:val="000000" w:themeColor="text1"/>
          <w:sz w:val="32"/>
          <w:szCs w:val="36"/>
          <w14:textFill>
            <w14:solidFill>
              <w14:schemeClr w14:val="tx1"/>
            </w14:solidFill>
          </w14:textFill>
        </w:rPr>
        <w:t>1.3适用范围</w:t>
      </w:r>
      <w:bookmarkEnd w:id="21"/>
      <w:bookmarkEnd w:id="22"/>
      <w:bookmarkEnd w:id="23"/>
      <w:bookmarkEnd w:id="24"/>
      <w:bookmarkEnd w:id="25"/>
      <w:bookmarkEnd w:id="26"/>
      <w:bookmarkEnd w:id="27"/>
    </w:p>
    <w:p>
      <w:pPr>
        <w:ind w:firstLine="600"/>
        <w:rPr>
          <w:rFonts w:hint="eastAsia" w:ascii="仿宋" w:hAnsi="仿宋" w:eastAsia="仿宋" w:cs="仿宋"/>
          <w:color w:val="000000" w:themeColor="text1"/>
          <w:sz w:val="32"/>
          <w:szCs w:val="24"/>
          <w:highlight w:val="yellow"/>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本预案适用于杭州</w:t>
      </w:r>
      <w:r>
        <w:rPr>
          <w:rFonts w:hint="eastAsia" w:ascii="仿宋" w:hAnsi="仿宋" w:eastAsia="仿宋" w:cs="仿宋"/>
          <w:color w:val="000000" w:themeColor="text1"/>
          <w:sz w:val="32"/>
          <w:szCs w:val="24"/>
          <w:highlight w:val="none"/>
          <w14:textFill>
            <w14:solidFill>
              <w14:schemeClr w14:val="tx1"/>
            </w14:solidFill>
          </w14:textFill>
        </w:rPr>
        <w:t>市</w:t>
      </w:r>
      <w:r>
        <w:rPr>
          <w:rFonts w:hint="eastAsia" w:ascii="仿宋" w:hAnsi="仿宋" w:eastAsia="仿宋" w:cs="仿宋"/>
          <w:color w:val="000000" w:themeColor="text1"/>
          <w:sz w:val="32"/>
          <w:szCs w:val="24"/>
          <w:highlight w:val="none"/>
          <w:lang w:eastAsia="zh-CN"/>
          <w14:textFill>
            <w14:solidFill>
              <w14:schemeClr w14:val="tx1"/>
            </w14:solidFill>
          </w14:textFill>
        </w:rPr>
        <w:t>辖区</w:t>
      </w:r>
      <w:r>
        <w:rPr>
          <w:rFonts w:hint="eastAsia" w:ascii="仿宋" w:hAnsi="仿宋" w:eastAsia="仿宋" w:cs="仿宋"/>
          <w:color w:val="000000" w:themeColor="text1"/>
          <w:sz w:val="32"/>
          <w:szCs w:val="24"/>
          <w14:textFill>
            <w14:solidFill>
              <w14:schemeClr w14:val="tx1"/>
            </w14:solidFill>
          </w14:textFill>
        </w:rPr>
        <w:t>范围内涉及危险化学品生产、经营、储存、运输、使用和废弃危险化学品处置等环节已经或可能发生事故的应急准备和应急响应。</w:t>
      </w:r>
      <w:r>
        <w:rPr>
          <w:rFonts w:hint="eastAsia" w:ascii="仿宋" w:hAnsi="仿宋" w:eastAsia="仿宋" w:cs="仿宋"/>
          <w:color w:val="000000" w:themeColor="text1"/>
          <w:sz w:val="32"/>
          <w:szCs w:val="24"/>
          <w:lang w:eastAsia="zh-CN"/>
          <w14:textFill>
            <w14:solidFill>
              <w14:schemeClr w14:val="tx1"/>
            </w14:solidFill>
          </w14:textFill>
        </w:rPr>
        <w:t>我市</w:t>
      </w:r>
      <w:r>
        <w:rPr>
          <w:rFonts w:hint="eastAsia" w:ascii="仿宋" w:hAnsi="仿宋" w:eastAsia="仿宋" w:cs="仿宋"/>
          <w:color w:val="000000" w:themeColor="text1"/>
          <w:sz w:val="32"/>
          <w:szCs w:val="24"/>
          <w14:textFill>
            <w14:solidFill>
              <w14:schemeClr w14:val="tx1"/>
            </w14:solidFill>
          </w14:textFill>
        </w:rPr>
        <w:t>周边</w:t>
      </w:r>
      <w:r>
        <w:rPr>
          <w:rFonts w:hint="eastAsia" w:ascii="仿宋" w:hAnsi="仿宋" w:eastAsia="仿宋" w:cs="仿宋"/>
          <w:color w:val="000000" w:themeColor="text1"/>
          <w:sz w:val="32"/>
          <w:szCs w:val="24"/>
          <w:lang w:eastAsia="zh-CN"/>
          <w14:textFill>
            <w14:solidFill>
              <w14:schemeClr w14:val="tx1"/>
            </w14:solidFill>
          </w14:textFill>
        </w:rPr>
        <w:t>地区</w:t>
      </w:r>
      <w:r>
        <w:rPr>
          <w:rFonts w:hint="eastAsia" w:ascii="仿宋" w:hAnsi="仿宋" w:eastAsia="仿宋" w:cs="仿宋"/>
          <w:color w:val="000000" w:themeColor="text1"/>
          <w:sz w:val="32"/>
          <w:szCs w:val="24"/>
          <w14:textFill>
            <w14:solidFill>
              <w14:schemeClr w14:val="tx1"/>
            </w14:solidFill>
          </w14:textFill>
        </w:rPr>
        <w:t>发生对我市已经或可能造成影响的危险化学品事故应对工作，参照本预案响应。</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本预案指导各区、县（市）危险化学品事故应急预案的编制，各区、县（市）危险化学品事故应急预案应与本预案衔接。</w:t>
      </w:r>
    </w:p>
    <w:p>
      <w:pPr>
        <w:pStyle w:val="4"/>
        <w:ind w:firstLine="642" w:firstLineChars="200"/>
        <w:rPr>
          <w:rStyle w:val="23"/>
          <w:rFonts w:hint="eastAsia" w:ascii="仿宋" w:hAnsi="仿宋" w:eastAsia="仿宋" w:cs="仿宋"/>
          <w:b/>
          <w:bCs/>
          <w:color w:val="000000" w:themeColor="text1"/>
          <w:sz w:val="32"/>
          <w:szCs w:val="36"/>
          <w14:textFill>
            <w14:solidFill>
              <w14:schemeClr w14:val="tx1"/>
            </w14:solidFill>
          </w14:textFill>
        </w:rPr>
      </w:pPr>
      <w:bookmarkStart w:id="28" w:name="_Toc2068801088"/>
      <w:bookmarkStart w:id="29" w:name="_Toc1962323824"/>
      <w:bookmarkStart w:id="30" w:name="_Toc1398147913"/>
      <w:bookmarkStart w:id="31" w:name="_Toc1182121678"/>
      <w:bookmarkStart w:id="32" w:name="_Toc18818245"/>
      <w:bookmarkStart w:id="33" w:name="_Toc384242626"/>
      <w:bookmarkStart w:id="34" w:name="_Toc1159739672"/>
      <w:r>
        <w:rPr>
          <w:rStyle w:val="23"/>
          <w:rFonts w:hint="eastAsia" w:ascii="仿宋" w:hAnsi="仿宋" w:eastAsia="仿宋" w:cs="仿宋"/>
          <w:b/>
          <w:bCs/>
          <w:color w:val="000000" w:themeColor="text1"/>
          <w:sz w:val="32"/>
          <w:szCs w:val="36"/>
          <w14:textFill>
            <w14:solidFill>
              <w14:schemeClr w14:val="tx1"/>
            </w14:solidFill>
          </w14:textFill>
        </w:rPr>
        <w:t>1.4工作原则</w:t>
      </w:r>
      <w:bookmarkEnd w:id="28"/>
      <w:bookmarkEnd w:id="29"/>
      <w:bookmarkEnd w:id="30"/>
      <w:bookmarkEnd w:id="31"/>
      <w:bookmarkEnd w:id="32"/>
      <w:bookmarkEnd w:id="33"/>
      <w:bookmarkEnd w:id="34"/>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（1</w:t>
      </w:r>
      <w:r>
        <w:rPr>
          <w:rFonts w:hint="eastAsia" w:ascii="仿宋" w:hAnsi="仿宋" w:eastAsia="仿宋" w:cs="仿宋"/>
          <w:color w:val="000000" w:themeColor="text1"/>
          <w:sz w:val="32"/>
          <w:szCs w:val="24"/>
          <w:highlight w:val="none"/>
          <w14:textFill>
            <w14:solidFill>
              <w14:schemeClr w14:val="tx1"/>
            </w14:solidFill>
          </w14:textFill>
        </w:rPr>
        <w:t>）</w:t>
      </w:r>
      <w:r>
        <w:rPr>
          <w:rFonts w:hint="eastAsia" w:ascii="仿宋" w:hAnsi="仿宋" w:eastAsia="仿宋" w:cs="仿宋"/>
          <w:color w:val="000000" w:themeColor="text1"/>
          <w:sz w:val="32"/>
          <w:szCs w:val="24"/>
          <w:highlight w:val="none"/>
          <w:lang w:eastAsia="zh-CN"/>
          <w14:textFill>
            <w14:solidFill>
              <w14:schemeClr w14:val="tx1"/>
            </w14:solidFill>
          </w14:textFill>
        </w:rPr>
        <w:t>生命至上</w:t>
      </w:r>
      <w:r>
        <w:rPr>
          <w:rFonts w:hint="eastAsia" w:ascii="仿宋" w:hAnsi="仿宋" w:eastAsia="仿宋" w:cs="仿宋"/>
          <w:color w:val="000000" w:themeColor="text1"/>
          <w:sz w:val="32"/>
          <w:szCs w:val="24"/>
          <w:highlight w:val="none"/>
          <w14:textFill>
            <w14:solidFill>
              <w14:schemeClr w14:val="tx1"/>
            </w14:solidFill>
          </w14:textFill>
        </w:rPr>
        <w:t>、安全第一</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始终把保障人民群众的生命安全和身体健康放在首位，作为应急救援工作的出发点和落脚点，最大限度地减少危险化学品事故造成的人员伤亡。</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（2）统一领导，分级负责</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事故应急救援工作坚持在各级党委、政府的统一领导下进行，</w:t>
      </w:r>
      <w:r>
        <w:rPr>
          <w:rFonts w:hint="eastAsia" w:ascii="仿宋" w:hAnsi="仿宋" w:eastAsia="仿宋" w:cs="仿宋"/>
          <w:color w:val="000000" w:themeColor="text1"/>
          <w:sz w:val="32"/>
          <w:szCs w:val="24"/>
          <w:lang w:eastAsia="zh-CN"/>
          <w14:textFill>
            <w14:solidFill>
              <w14:schemeClr w14:val="tx1"/>
            </w14:solidFill>
          </w14:textFill>
        </w:rPr>
        <w:t>市安全生产委员会（以下简称市安委会）统一领导、指挥全市危险化学品事故应急处置工作，</w:t>
      </w:r>
      <w:r>
        <w:rPr>
          <w:rFonts w:hint="eastAsia" w:ascii="仿宋" w:hAnsi="仿宋" w:eastAsia="仿宋" w:cs="仿宋"/>
          <w:color w:val="000000" w:themeColor="text1"/>
          <w:sz w:val="32"/>
          <w:szCs w:val="24"/>
          <w14:textFill>
            <w14:solidFill>
              <w14:schemeClr w14:val="tx1"/>
            </w14:solidFill>
          </w14:textFill>
        </w:rPr>
        <w:t>市、</w:t>
      </w:r>
      <w:r>
        <w:rPr>
          <w:rFonts w:hint="eastAsia" w:ascii="仿宋" w:hAnsi="仿宋" w:eastAsia="仿宋" w:cs="仿宋"/>
          <w:color w:val="000000" w:themeColor="text1"/>
          <w:sz w:val="32"/>
          <w:szCs w:val="24"/>
          <w:lang w:eastAsia="zh-CN"/>
          <w14:textFill>
            <w14:solidFill>
              <w14:schemeClr w14:val="tx1"/>
            </w14:solidFill>
          </w14:textFill>
        </w:rPr>
        <w:t>县两</w:t>
      </w:r>
      <w:r>
        <w:rPr>
          <w:rFonts w:hint="eastAsia" w:ascii="仿宋" w:hAnsi="仿宋" w:eastAsia="仿宋" w:cs="仿宋"/>
          <w:color w:val="000000" w:themeColor="text1"/>
          <w:sz w:val="32"/>
          <w:szCs w:val="24"/>
          <w14:textFill>
            <w14:solidFill>
              <w14:schemeClr w14:val="tx1"/>
            </w14:solidFill>
          </w14:textFill>
        </w:rPr>
        <w:t>级有关职能部门按照各自所属的职责和权限，负责相关的危险化学品事故的应急响应和应急处置工作，建立健全联动应急机制。</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（3）及时有效，果断应对</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危险化学品事故发生后应按照分级响应的原则，各级相关职能部门及时有效的启动响应应急预案，确保应急救援工作应对及时，处置得当。</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（4）科学处置，规范有序</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充分调动杭州市专业应急力量和应急资源，充分发挥安全生产应急救援专家和专业技术人员的支撑保障作用，切实加强应急救援人员的安全防护，依靠有效的应急救援装备、设施和手段，规范应急救援工作，提高应急救援效率。各应急救援工作组在现场指挥部的统一指挥下，规范有序，协同做好应急救援工作。区、县（市）人民政府要加强与周边</w:t>
      </w:r>
      <w:r>
        <w:rPr>
          <w:rFonts w:hint="eastAsia" w:ascii="仿宋" w:hAnsi="仿宋" w:eastAsia="仿宋" w:cs="仿宋"/>
          <w:color w:val="000000" w:themeColor="text1"/>
          <w:sz w:val="32"/>
          <w:szCs w:val="24"/>
          <w:lang w:eastAsia="zh-CN"/>
          <w14:textFill>
            <w14:solidFill>
              <w14:schemeClr w14:val="tx1"/>
            </w14:solidFill>
          </w14:textFill>
        </w:rPr>
        <w:t>地区</w:t>
      </w:r>
      <w:r>
        <w:rPr>
          <w:rFonts w:hint="eastAsia" w:ascii="仿宋" w:hAnsi="仿宋" w:eastAsia="仿宋" w:cs="仿宋"/>
          <w:color w:val="000000" w:themeColor="text1"/>
          <w:sz w:val="32"/>
          <w:szCs w:val="24"/>
          <w14:textFill>
            <w14:solidFill>
              <w14:schemeClr w14:val="tx1"/>
            </w14:solidFill>
          </w14:textFill>
        </w:rPr>
        <w:t>的沟通联络，提高区域应急合作能力。</w:t>
      </w:r>
    </w:p>
    <w:p>
      <w:pPr>
        <w:pStyle w:val="3"/>
        <w:ind w:firstLine="722" w:firstLineChars="200"/>
        <w:rPr>
          <w:rFonts w:hint="eastAsia" w:ascii="仿宋" w:hAnsi="仿宋" w:eastAsia="仿宋" w:cs="仿宋"/>
          <w:color w:val="000000" w:themeColor="text1"/>
          <w:sz w:val="36"/>
          <w:szCs w:val="48"/>
          <w14:textFill>
            <w14:solidFill>
              <w14:schemeClr w14:val="tx1"/>
            </w14:solidFill>
          </w14:textFill>
        </w:rPr>
      </w:pPr>
      <w:bookmarkStart w:id="35" w:name="_Toc18818246"/>
      <w:bookmarkStart w:id="36" w:name="_Toc357832413"/>
      <w:bookmarkStart w:id="37" w:name="_Toc323623775"/>
      <w:bookmarkStart w:id="38" w:name="_Toc397198769"/>
      <w:bookmarkStart w:id="39" w:name="_Toc1639906103"/>
      <w:bookmarkStart w:id="40" w:name="_Toc863884163"/>
      <w:bookmarkStart w:id="41" w:name="_Toc1078367585"/>
      <w:r>
        <w:rPr>
          <w:rFonts w:hint="eastAsia" w:ascii="仿宋" w:hAnsi="仿宋" w:eastAsia="仿宋" w:cs="仿宋"/>
          <w:color w:val="000000" w:themeColor="text1"/>
          <w:sz w:val="36"/>
          <w:szCs w:val="48"/>
          <w14:textFill>
            <w14:solidFill>
              <w14:schemeClr w14:val="tx1"/>
            </w14:solidFill>
          </w14:textFill>
        </w:rPr>
        <w:t>2事故分级</w:t>
      </w:r>
      <w:bookmarkEnd w:id="35"/>
      <w:bookmarkEnd w:id="36"/>
      <w:bookmarkEnd w:id="37"/>
      <w:bookmarkEnd w:id="38"/>
      <w:bookmarkEnd w:id="39"/>
      <w:bookmarkEnd w:id="40"/>
      <w:bookmarkEnd w:id="41"/>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根据危险化学品事故造成的人员伤亡或者直接经济损失，危险化学品事故由高到低划分为特别重大、重大、较大和一般四个级别。</w:t>
      </w:r>
    </w:p>
    <w:p>
      <w:pPr>
        <w:ind w:left="0" w:leftChars="0" w:firstLine="642" w:firstLineChars="200"/>
        <w:rPr>
          <w:rFonts w:hint="eastAsia" w:ascii="仿宋" w:hAnsi="仿宋" w:eastAsia="仿宋" w:cs="仿宋"/>
          <w:color w:val="000000" w:themeColor="text1"/>
          <w:sz w:val="32"/>
          <w:szCs w:val="24"/>
          <w14:textFill>
            <w14:solidFill>
              <w14:schemeClr w14:val="tx1"/>
            </w14:solidFill>
          </w14:textFill>
        </w:rPr>
      </w:pPr>
      <w:bookmarkStart w:id="42" w:name="_Toc1820280119"/>
      <w:bookmarkStart w:id="43" w:name="_Toc147104058"/>
      <w:bookmarkStart w:id="44" w:name="_Toc641218021"/>
      <w:bookmarkStart w:id="45" w:name="_Toc693151363"/>
      <w:bookmarkStart w:id="46" w:name="_Toc1498702619"/>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2.1特别重大危险化学品事故</w:t>
      </w:r>
      <w:bookmarkEnd w:id="42"/>
      <w:bookmarkEnd w:id="43"/>
      <w:bookmarkEnd w:id="44"/>
      <w:bookmarkEnd w:id="45"/>
      <w:bookmarkEnd w:id="46"/>
      <w:r>
        <w:rPr>
          <w:rFonts w:hint="eastAsia" w:ascii="仿宋" w:hAnsi="仿宋" w:eastAsia="仿宋" w:cs="仿宋"/>
          <w:color w:val="000000" w:themeColor="text1"/>
          <w:sz w:val="32"/>
          <w:szCs w:val="24"/>
          <w14:textFill>
            <w14:solidFill>
              <w14:schemeClr w14:val="tx1"/>
            </w14:solidFill>
          </w14:textFill>
        </w:rPr>
        <w:t xml:space="preserve"> </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特别重大危险化学品事故，是指出现以下情形之一：</w:t>
      </w:r>
    </w:p>
    <w:p>
      <w:pPr>
        <w:ind w:firstLine="600" w:firstLineChars="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①造成30人以上死亡，或者100人以上重伤</w:t>
      </w:r>
      <w:r>
        <w:rPr>
          <w:rFonts w:hint="eastAsia" w:ascii="仿宋" w:hAnsi="仿宋" w:eastAsia="仿宋" w:cs="仿宋"/>
          <w:color w:val="000000" w:themeColor="text1"/>
          <w:sz w:val="32"/>
          <w:szCs w:val="24"/>
          <w:lang w:eastAsia="zh-CN"/>
          <w14:textFill>
            <w14:solidFill>
              <w14:schemeClr w14:val="tx1"/>
            </w14:solidFill>
          </w14:textFill>
        </w:rPr>
        <w:t>；</w:t>
      </w:r>
    </w:p>
    <w:p>
      <w:pPr>
        <w:ind w:left="567" w:firstLine="0" w:firstLineChars="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②直接经济损失1亿元以上；</w:t>
      </w:r>
    </w:p>
    <w:p>
      <w:pPr>
        <w:ind w:left="567" w:firstLine="0" w:firstLineChars="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③疏散转移10万人以上的；</w:t>
      </w:r>
    </w:p>
    <w:p>
      <w:pPr>
        <w:ind w:left="567" w:firstLine="0" w:firstLineChars="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 xml:space="preserve">④事故事态发展严重，产生特别严重社会影响的； </w:t>
      </w:r>
    </w:p>
    <w:p>
      <w:pPr>
        <w:ind w:left="567" w:firstLine="0" w:firstLineChars="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⑤国务院认定特别重大事故的。</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47" w:name="_Toc2099099740"/>
      <w:bookmarkStart w:id="48" w:name="_Toc324577306"/>
      <w:bookmarkStart w:id="49" w:name="_Toc1757989352"/>
      <w:bookmarkStart w:id="50" w:name="_Toc32321340"/>
      <w:bookmarkStart w:id="51" w:name="_Toc2012022477"/>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2.2重大危险化学品事故</w:t>
      </w:r>
    </w:p>
    <w:bookmarkEnd w:id="47"/>
    <w:bookmarkEnd w:id="48"/>
    <w:bookmarkEnd w:id="49"/>
    <w:bookmarkEnd w:id="50"/>
    <w:bookmarkEnd w:id="51"/>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重大危险化学品事故，是指出现以下情形之一：</w:t>
      </w:r>
    </w:p>
    <w:p>
      <w:pPr>
        <w:pStyle w:val="26"/>
        <w:numPr>
          <w:ilvl w:val="0"/>
          <w:numId w:val="1"/>
        </w:numPr>
        <w:ind w:firstLineChars="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造成10人以上、不足30人死亡，或者50人以上、不足100人重伤的；</w:t>
      </w:r>
    </w:p>
    <w:p>
      <w:pPr>
        <w:pStyle w:val="26"/>
        <w:numPr>
          <w:ilvl w:val="0"/>
          <w:numId w:val="1"/>
        </w:numPr>
        <w:ind w:firstLineChars="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直接经济损失5000万元以上、不足</w:t>
      </w:r>
      <w:r>
        <w:rPr>
          <w:rFonts w:hint="eastAsia" w:ascii="仿宋" w:hAnsi="仿宋" w:eastAsia="仿宋" w:cs="仿宋"/>
          <w:color w:val="000000" w:themeColor="text1"/>
          <w:sz w:val="32"/>
          <w:szCs w:val="24"/>
          <w:lang w:val="en-US" w:eastAsia="zh-CN"/>
          <w14:textFill>
            <w14:solidFill>
              <w14:schemeClr w14:val="tx1"/>
            </w14:solidFill>
          </w14:textFill>
        </w:rPr>
        <w:t>1</w:t>
      </w:r>
      <w:r>
        <w:rPr>
          <w:rFonts w:hint="eastAsia" w:ascii="仿宋" w:hAnsi="仿宋" w:eastAsia="仿宋" w:cs="仿宋"/>
          <w:color w:val="000000" w:themeColor="text1"/>
          <w:sz w:val="32"/>
          <w:szCs w:val="24"/>
          <w14:textFill>
            <w14:solidFill>
              <w14:schemeClr w14:val="tx1"/>
            </w14:solidFill>
          </w14:textFill>
        </w:rPr>
        <w:t>亿元的</w:t>
      </w:r>
      <w:r>
        <w:rPr>
          <w:rFonts w:hint="eastAsia" w:ascii="仿宋" w:hAnsi="仿宋" w:eastAsia="仿宋" w:cs="仿宋"/>
          <w:color w:val="000000" w:themeColor="text1"/>
          <w:sz w:val="32"/>
          <w:szCs w:val="24"/>
          <w:lang w:eastAsia="zh-CN"/>
          <w14:textFill>
            <w14:solidFill>
              <w14:schemeClr w14:val="tx1"/>
            </w14:solidFill>
          </w14:textFill>
        </w:rPr>
        <w:t>；</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 xml:space="preserve">③事故产生严重社会影响，超出设区市政府处置能力的； </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④省政府认定为重大事故的。</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52" w:name="_Toc1670584282"/>
      <w:bookmarkStart w:id="53" w:name="_Toc1904122123"/>
      <w:bookmarkStart w:id="54" w:name="_Toc845473616"/>
      <w:bookmarkStart w:id="55" w:name="_Toc679577448"/>
      <w:bookmarkStart w:id="56" w:name="_Toc600835999"/>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2.3较大危险化学品事故</w:t>
      </w:r>
    </w:p>
    <w:bookmarkEnd w:id="52"/>
    <w:bookmarkEnd w:id="53"/>
    <w:bookmarkEnd w:id="54"/>
    <w:bookmarkEnd w:id="55"/>
    <w:bookmarkEnd w:id="56"/>
    <w:p>
      <w:pPr>
        <w:ind w:firstLine="531" w:firstLineChars="166"/>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较大危险化学品事故，是指出现以下情形之一：</w:t>
      </w:r>
    </w:p>
    <w:p>
      <w:pPr>
        <w:pStyle w:val="26"/>
        <w:numPr>
          <w:ilvl w:val="0"/>
          <w:numId w:val="2"/>
        </w:numPr>
        <w:ind w:firstLineChars="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造成3人以上、不足10人死亡</w:t>
      </w:r>
      <w:r>
        <w:rPr>
          <w:rFonts w:hint="eastAsia" w:ascii="仿宋" w:hAnsi="仿宋" w:eastAsia="仿宋" w:cs="仿宋"/>
          <w:color w:val="000000" w:themeColor="text1"/>
          <w:sz w:val="32"/>
          <w:szCs w:val="24"/>
          <w:lang w:eastAsia="zh-CN"/>
          <w14:textFill>
            <w14:solidFill>
              <w14:schemeClr w14:val="tx1"/>
            </w14:solidFill>
          </w14:textFill>
        </w:rPr>
        <w:t>，</w:t>
      </w:r>
      <w:r>
        <w:rPr>
          <w:rFonts w:hint="eastAsia" w:ascii="仿宋" w:hAnsi="仿宋" w:eastAsia="仿宋" w:cs="仿宋"/>
          <w:color w:val="000000" w:themeColor="text1"/>
          <w:sz w:val="32"/>
          <w:szCs w:val="24"/>
          <w14:textFill>
            <w14:solidFill>
              <w14:schemeClr w14:val="tx1"/>
            </w14:solidFill>
          </w14:textFill>
        </w:rPr>
        <w:t>或者10人以上、不足50人重伤</w:t>
      </w:r>
      <w:r>
        <w:rPr>
          <w:rFonts w:hint="eastAsia" w:ascii="仿宋" w:hAnsi="仿宋" w:eastAsia="仿宋" w:cs="仿宋"/>
          <w:color w:val="000000" w:themeColor="text1"/>
          <w:sz w:val="32"/>
          <w:szCs w:val="24"/>
          <w:lang w:eastAsia="zh-CN"/>
          <w14:textFill>
            <w14:solidFill>
              <w14:schemeClr w14:val="tx1"/>
            </w14:solidFill>
          </w14:textFill>
        </w:rPr>
        <w:t>的</w:t>
      </w:r>
      <w:r>
        <w:rPr>
          <w:rFonts w:hint="eastAsia" w:ascii="仿宋" w:hAnsi="仿宋" w:eastAsia="仿宋" w:cs="仿宋"/>
          <w:color w:val="000000" w:themeColor="text1"/>
          <w:sz w:val="32"/>
          <w:szCs w:val="24"/>
          <w14:textFill>
            <w14:solidFill>
              <w14:schemeClr w14:val="tx1"/>
            </w14:solidFill>
          </w14:textFill>
        </w:rPr>
        <w:t>；</w:t>
      </w:r>
    </w:p>
    <w:p>
      <w:pPr>
        <w:pStyle w:val="26"/>
        <w:numPr>
          <w:ilvl w:val="0"/>
          <w:numId w:val="2"/>
        </w:numPr>
        <w:ind w:firstLineChars="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直接经济损失1000万元以上、不足5000万元的；</w:t>
      </w:r>
    </w:p>
    <w:p>
      <w:pPr>
        <w:pStyle w:val="26"/>
        <w:numPr>
          <w:ilvl w:val="0"/>
          <w:numId w:val="2"/>
        </w:numPr>
        <w:ind w:firstLineChars="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事故产生较大社会影响，超出县级政府处置能力的。</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57" w:name="_Toc179277303"/>
      <w:bookmarkStart w:id="58" w:name="_Toc569389897"/>
      <w:bookmarkStart w:id="59" w:name="_Toc1707197834"/>
      <w:bookmarkStart w:id="60" w:name="_Toc1296568359"/>
      <w:bookmarkStart w:id="61" w:name="_Toc2146112807"/>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2.4一般危险化学品事故</w:t>
      </w:r>
    </w:p>
    <w:bookmarkEnd w:id="57"/>
    <w:bookmarkEnd w:id="58"/>
    <w:bookmarkEnd w:id="59"/>
    <w:bookmarkEnd w:id="60"/>
    <w:bookmarkEnd w:id="61"/>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一般危险化学品事故，是指出现以下情形之一：</w:t>
      </w:r>
    </w:p>
    <w:p>
      <w:pPr>
        <w:pStyle w:val="26"/>
        <w:numPr>
          <w:ilvl w:val="0"/>
          <w:numId w:val="3"/>
        </w:numPr>
        <w:ind w:firstLineChars="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造成不足3人死亡，或者导致不足10人重伤</w:t>
      </w:r>
      <w:r>
        <w:rPr>
          <w:rFonts w:hint="eastAsia" w:ascii="仿宋" w:hAnsi="仿宋" w:eastAsia="仿宋" w:cs="仿宋"/>
          <w:color w:val="000000" w:themeColor="text1"/>
          <w:sz w:val="32"/>
          <w:szCs w:val="24"/>
          <w:lang w:eastAsia="zh-CN"/>
          <w14:textFill>
            <w14:solidFill>
              <w14:schemeClr w14:val="tx1"/>
            </w14:solidFill>
          </w14:textFill>
        </w:rPr>
        <w:t>的</w:t>
      </w:r>
      <w:r>
        <w:rPr>
          <w:rFonts w:hint="eastAsia" w:ascii="仿宋" w:hAnsi="仿宋" w:eastAsia="仿宋" w:cs="仿宋"/>
          <w:color w:val="000000" w:themeColor="text1"/>
          <w:sz w:val="32"/>
          <w:szCs w:val="24"/>
          <w14:textFill>
            <w14:solidFill>
              <w14:schemeClr w14:val="tx1"/>
            </w14:solidFill>
          </w14:textFill>
        </w:rPr>
        <w:t>；</w:t>
      </w:r>
    </w:p>
    <w:p>
      <w:pPr>
        <w:pStyle w:val="26"/>
        <w:numPr>
          <w:ilvl w:val="0"/>
          <w:numId w:val="3"/>
        </w:numPr>
        <w:ind w:firstLineChars="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直接经济损失不足1000 万元的；</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③事故产生一定社会影响的。</w:t>
      </w:r>
    </w:p>
    <w:p>
      <w:pPr>
        <w:pStyle w:val="3"/>
        <w:ind w:firstLine="722" w:firstLineChars="200"/>
        <w:jc w:val="both"/>
        <w:rPr>
          <w:rFonts w:hint="eastAsia" w:ascii="仿宋" w:hAnsi="仿宋" w:eastAsia="仿宋" w:cs="仿宋"/>
          <w:color w:val="000000" w:themeColor="text1"/>
          <w:sz w:val="36"/>
          <w:szCs w:val="48"/>
          <w14:textFill>
            <w14:solidFill>
              <w14:schemeClr w14:val="tx1"/>
            </w14:solidFill>
          </w14:textFill>
        </w:rPr>
      </w:pPr>
      <w:bookmarkStart w:id="62" w:name="_Toc1059771533"/>
      <w:bookmarkStart w:id="63" w:name="_Toc1231758596"/>
      <w:bookmarkStart w:id="64" w:name="_Toc18818249"/>
      <w:bookmarkStart w:id="65" w:name="_Toc2016436115"/>
      <w:bookmarkStart w:id="66" w:name="_Toc1128044501"/>
      <w:bookmarkStart w:id="67" w:name="_Toc1746422745"/>
      <w:bookmarkStart w:id="68" w:name="_Toc755514988"/>
      <w:r>
        <w:rPr>
          <w:rFonts w:hint="eastAsia" w:ascii="仿宋" w:hAnsi="仿宋" w:eastAsia="仿宋" w:cs="仿宋"/>
          <w:color w:val="000000" w:themeColor="text1"/>
          <w:sz w:val="36"/>
          <w:szCs w:val="48"/>
          <w14:textFill>
            <w14:solidFill>
              <w14:schemeClr w14:val="tx1"/>
            </w14:solidFill>
          </w14:textFill>
        </w:rPr>
        <w:t>3  组织机构和职责</w:t>
      </w:r>
      <w:bookmarkEnd w:id="62"/>
      <w:bookmarkEnd w:id="63"/>
      <w:bookmarkEnd w:id="64"/>
      <w:bookmarkEnd w:id="65"/>
      <w:bookmarkEnd w:id="66"/>
      <w:bookmarkEnd w:id="67"/>
      <w:bookmarkEnd w:id="68"/>
    </w:p>
    <w:p>
      <w:pPr>
        <w:ind w:firstLine="642"/>
        <w:rPr>
          <w:rStyle w:val="23"/>
          <w:rFonts w:hint="eastAsia" w:ascii="仿宋" w:hAnsi="仿宋" w:eastAsia="仿宋" w:cs="仿宋"/>
          <w:color w:val="000000" w:themeColor="text1"/>
          <w:sz w:val="32"/>
          <w:szCs w:val="36"/>
          <w:lang w:val="en-US" w:eastAsia="zh-CN"/>
          <w14:textFill>
            <w14:solidFill>
              <w14:schemeClr w14:val="tx1"/>
            </w14:solidFill>
          </w14:textFill>
        </w:rPr>
      </w:pPr>
      <w:bookmarkStart w:id="69" w:name="_Toc558631755"/>
      <w:bookmarkStart w:id="70" w:name="_Toc1989105264"/>
      <w:bookmarkStart w:id="71" w:name="_Toc105002101"/>
      <w:bookmarkStart w:id="72" w:name="_Toc868433089"/>
      <w:r>
        <w:rPr>
          <w:rStyle w:val="23"/>
          <w:rFonts w:hint="eastAsia" w:ascii="仿宋" w:hAnsi="仿宋" w:eastAsia="仿宋" w:cs="仿宋"/>
          <w:color w:val="000000" w:themeColor="text1"/>
          <w:sz w:val="32"/>
          <w:szCs w:val="36"/>
          <w:lang w:val="en-US" w:eastAsia="zh-CN"/>
          <w14:textFill>
            <w14:solidFill>
              <w14:schemeClr w14:val="tx1"/>
            </w14:solidFill>
          </w14:textFill>
        </w:rPr>
        <w:t>3.1指挥机构</w:t>
      </w:r>
    </w:p>
    <w:bookmarkEnd w:id="69"/>
    <w:bookmarkEnd w:id="70"/>
    <w:bookmarkEnd w:id="71"/>
    <w:bookmarkEnd w:id="72"/>
    <w:p>
      <w:pPr>
        <w:ind w:firstLine="642"/>
        <w:rPr>
          <w:rStyle w:val="23"/>
          <w:rFonts w:hint="eastAsia" w:ascii="仿宋" w:hAnsi="仿宋" w:eastAsia="仿宋" w:cs="仿宋"/>
          <w:color w:val="000000" w:themeColor="text1"/>
          <w:sz w:val="32"/>
          <w:szCs w:val="36"/>
          <w:lang w:val="en-US" w:eastAsia="zh-CN"/>
          <w14:textFill>
            <w14:solidFill>
              <w14:schemeClr w14:val="tx1"/>
            </w14:solidFill>
          </w14:textFill>
        </w:rPr>
      </w:pPr>
      <w:bookmarkStart w:id="73" w:name="_Toc288879491"/>
      <w:bookmarkStart w:id="74" w:name="_Toc644665831"/>
      <w:r>
        <w:rPr>
          <w:rFonts w:hint="eastAsia" w:ascii="仿宋" w:hAnsi="仿宋" w:eastAsia="仿宋" w:cs="仿宋"/>
          <w:color w:val="000000" w:themeColor="text1"/>
          <w:sz w:val="32"/>
          <w:szCs w:val="24"/>
          <w:lang w:val="en-US" w:eastAsia="zh-CN"/>
          <w14:textFill>
            <w14:solidFill>
              <w14:schemeClr w14:val="tx1"/>
            </w14:solidFill>
          </w14:textFill>
        </w:rPr>
        <w:t>3.1.1市安委会</w:t>
      </w:r>
    </w:p>
    <w:bookmarkEnd w:id="73"/>
    <w:bookmarkEnd w:id="74"/>
    <w:p>
      <w:pPr>
        <w:ind w:firstLine="600"/>
        <w:rPr>
          <w:rFonts w:hint="eastAsia" w:ascii="仿宋" w:hAnsi="仿宋" w:eastAsia="仿宋" w:cs="仿宋"/>
          <w:color w:val="000000" w:themeColor="text1"/>
          <w:sz w:val="32"/>
          <w:szCs w:val="24"/>
          <w:lang w:eastAsia="zh-CN"/>
          <w14:textFill>
            <w14:solidFill>
              <w14:schemeClr w14:val="tx1"/>
            </w14:solidFill>
          </w14:textFill>
        </w:rPr>
      </w:pPr>
      <w:r>
        <w:rPr>
          <w:rFonts w:hint="eastAsia" w:ascii="仿宋" w:hAnsi="仿宋" w:eastAsia="仿宋" w:cs="仿宋"/>
          <w:color w:val="000000" w:themeColor="text1"/>
          <w:sz w:val="32"/>
          <w:szCs w:val="24"/>
          <w:lang w:eastAsia="zh-CN"/>
          <w14:textFill>
            <w14:solidFill>
              <w14:schemeClr w14:val="tx1"/>
            </w14:solidFill>
          </w14:textFill>
        </w:rPr>
        <w:t>市安委会承担</w:t>
      </w:r>
      <w:r>
        <w:rPr>
          <w:rFonts w:hint="eastAsia" w:ascii="仿宋" w:hAnsi="仿宋" w:eastAsia="仿宋" w:cs="仿宋"/>
          <w:color w:val="000000" w:themeColor="text1"/>
          <w:sz w:val="32"/>
          <w:szCs w:val="24"/>
          <w14:textFill>
            <w14:solidFill>
              <w14:schemeClr w14:val="tx1"/>
            </w14:solidFill>
          </w14:textFill>
        </w:rPr>
        <w:t>杭州市危险化学品事故应急指挥部（以下简称</w:t>
      </w:r>
      <w:r>
        <w:rPr>
          <w:rFonts w:hint="eastAsia" w:ascii="仿宋" w:hAnsi="仿宋" w:eastAsia="仿宋" w:cs="仿宋"/>
          <w:color w:val="000000" w:themeColor="text1"/>
          <w:sz w:val="32"/>
          <w:szCs w:val="24"/>
          <w:lang w:eastAsia="zh-CN"/>
          <w14:textFill>
            <w14:solidFill>
              <w14:schemeClr w14:val="tx1"/>
            </w14:solidFill>
          </w14:textFill>
        </w:rPr>
        <w:t>市</w:t>
      </w:r>
      <w:r>
        <w:rPr>
          <w:rFonts w:hint="eastAsia" w:ascii="仿宋" w:hAnsi="仿宋" w:eastAsia="仿宋" w:cs="仿宋"/>
          <w:color w:val="000000" w:themeColor="text1"/>
          <w:sz w:val="32"/>
          <w:szCs w:val="24"/>
          <w14:textFill>
            <w14:solidFill>
              <w14:schemeClr w14:val="tx1"/>
            </w14:solidFill>
          </w14:textFill>
        </w:rPr>
        <w:t>应急指挥部）</w:t>
      </w:r>
      <w:r>
        <w:rPr>
          <w:rFonts w:hint="eastAsia" w:ascii="仿宋" w:hAnsi="仿宋" w:eastAsia="仿宋" w:cs="仿宋"/>
          <w:color w:val="000000" w:themeColor="text1"/>
          <w:sz w:val="32"/>
          <w:szCs w:val="24"/>
          <w:lang w:eastAsia="zh-CN"/>
          <w14:textFill>
            <w14:solidFill>
              <w14:schemeClr w14:val="tx1"/>
            </w14:solidFill>
          </w14:textFill>
        </w:rPr>
        <w:t>职责</w:t>
      </w:r>
      <w:r>
        <w:rPr>
          <w:rFonts w:hint="eastAsia" w:ascii="仿宋" w:hAnsi="仿宋" w:eastAsia="仿宋" w:cs="仿宋"/>
          <w:color w:val="000000" w:themeColor="text1"/>
          <w:sz w:val="32"/>
          <w:szCs w:val="24"/>
          <w14:textFill>
            <w14:solidFill>
              <w14:schemeClr w14:val="tx1"/>
            </w14:solidFill>
          </w14:textFill>
        </w:rPr>
        <w:t>，负责统一组织领导、指挥协调全市危险化学品事故的应急救援工作</w:t>
      </w:r>
      <w:r>
        <w:rPr>
          <w:rFonts w:hint="eastAsia" w:ascii="仿宋" w:hAnsi="仿宋" w:eastAsia="仿宋" w:cs="仿宋"/>
          <w:color w:val="000000" w:themeColor="text1"/>
          <w:sz w:val="32"/>
          <w:szCs w:val="24"/>
          <w:lang w:eastAsia="zh-CN"/>
          <w14:textFill>
            <w14:solidFill>
              <w14:schemeClr w14:val="tx1"/>
            </w14:solidFill>
          </w14:textFill>
        </w:rPr>
        <w:t>。发生特别重大、重大危险化学品事故时，在市委、市政府的领导下，组织开展事故先期处置，负责落实国家、省有关指挥部指令。</w:t>
      </w:r>
    </w:p>
    <w:p>
      <w:pPr>
        <w:ind w:left="0" w:leftChars="0" w:firstLine="640" w:firstLineChars="200"/>
        <w:rPr>
          <w:rStyle w:val="18"/>
          <w:rFonts w:hint="eastAsia" w:ascii="仿宋" w:hAnsi="仿宋" w:eastAsia="仿宋" w:cs="仿宋"/>
          <w:color w:val="000000" w:themeColor="text1"/>
          <w:kern w:val="2"/>
          <w:sz w:val="32"/>
          <w:szCs w:val="24"/>
          <w:lang w:val="en-US" w:eastAsia="zh-CN" w:bidi="ar-SA"/>
          <w14:textFill>
            <w14:solidFill>
              <w14:schemeClr w14:val="tx1"/>
            </w14:solidFill>
          </w14:textFill>
        </w:rPr>
      </w:pPr>
      <w:bookmarkStart w:id="75" w:name="_Toc18818250"/>
      <w:bookmarkStart w:id="76" w:name="_Toc1804954315"/>
      <w:bookmarkStart w:id="77" w:name="_Toc1835958933"/>
      <w:bookmarkStart w:id="78" w:name="_Toc607044178"/>
      <w:bookmarkStart w:id="79" w:name="_Toc1593132616"/>
      <w:bookmarkStart w:id="80" w:name="_Toc1830724524"/>
      <w:r>
        <w:rPr>
          <w:rStyle w:val="18"/>
          <w:rFonts w:hint="eastAsia" w:ascii="仿宋" w:hAnsi="仿宋" w:eastAsia="仿宋" w:cs="仿宋"/>
          <w:color w:val="000000" w:themeColor="text1"/>
          <w:kern w:val="2"/>
          <w:sz w:val="32"/>
          <w:szCs w:val="24"/>
          <w:lang w:val="en-US" w:eastAsia="zh-CN" w:bidi="ar-SA"/>
          <w14:textFill>
            <w14:solidFill>
              <w14:schemeClr w14:val="tx1"/>
            </w14:solidFill>
          </w14:textFill>
        </w:rPr>
        <w:t>3.1.2相关成员单位职责</w:t>
      </w:r>
      <w:bookmarkEnd w:id="75"/>
      <w:bookmarkEnd w:id="76"/>
    </w:p>
    <w:bookmarkEnd w:id="77"/>
    <w:bookmarkEnd w:id="78"/>
    <w:bookmarkEnd w:id="79"/>
    <w:bookmarkEnd w:id="80"/>
    <w:p>
      <w:pPr>
        <w:ind w:firstLine="600"/>
        <w:rPr>
          <w:rFonts w:hint="eastAsia" w:ascii="仿宋" w:hAnsi="仿宋" w:eastAsia="仿宋" w:cs="仿宋"/>
          <w:color w:val="000000" w:themeColor="text1"/>
          <w:sz w:val="32"/>
          <w:szCs w:val="24"/>
          <w:highlight w:val="none"/>
          <w:lang w:eastAsia="zh-CN"/>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市应急管理局：负责</w:t>
      </w:r>
      <w:r>
        <w:rPr>
          <w:rFonts w:hint="eastAsia" w:ascii="仿宋" w:hAnsi="仿宋" w:eastAsia="仿宋" w:cs="仿宋"/>
          <w:color w:val="000000" w:themeColor="text1"/>
          <w:sz w:val="32"/>
          <w:szCs w:val="24"/>
          <w:lang w:eastAsia="zh-CN"/>
          <w14:textFill>
            <w14:solidFill>
              <w14:schemeClr w14:val="tx1"/>
            </w14:solidFill>
          </w14:textFill>
        </w:rPr>
        <w:t>事故信息接报相关工作</w:t>
      </w:r>
      <w:r>
        <w:rPr>
          <w:rFonts w:hint="eastAsia" w:ascii="仿宋" w:hAnsi="仿宋" w:eastAsia="仿宋" w:cs="仿宋"/>
          <w:color w:val="000000" w:themeColor="text1"/>
          <w:sz w:val="32"/>
          <w:szCs w:val="24"/>
          <w14:textFill>
            <w14:solidFill>
              <w14:schemeClr w14:val="tx1"/>
            </w14:solidFill>
          </w14:textFill>
        </w:rPr>
        <w:t>，提出启动相关应急响应的建议，通知相关部门赶赴事故现场参与应急处置；协调、组织调动危险化学品专业应急救援队伍参与事故应急救援处置；指导各级政府加强危险化学品企业事故应急救援体系建设，组建危险化学品应急专家组，为应急救援提供技术支撑；引导协调社会力量参与救灾救援；</w:t>
      </w:r>
      <w:r>
        <w:rPr>
          <w:rFonts w:hint="eastAsia" w:ascii="仿宋" w:hAnsi="仿宋" w:eastAsia="仿宋" w:cs="仿宋"/>
          <w:color w:val="000000" w:themeColor="text1"/>
          <w:sz w:val="32"/>
          <w:szCs w:val="24"/>
          <w:highlight w:val="none"/>
          <w14:textFill>
            <w14:solidFill>
              <w14:schemeClr w14:val="tx1"/>
            </w14:solidFill>
          </w14:textFill>
        </w:rPr>
        <w:t>负责应急物资调用</w:t>
      </w:r>
      <w:r>
        <w:rPr>
          <w:rFonts w:hint="eastAsia" w:ascii="仿宋" w:hAnsi="仿宋" w:eastAsia="仿宋" w:cs="仿宋"/>
          <w:color w:val="000000" w:themeColor="text1"/>
          <w:sz w:val="32"/>
          <w:szCs w:val="24"/>
          <w:highlight w:val="none"/>
          <w:lang w:eastAsia="zh-CN"/>
          <w14:textFill>
            <w14:solidFill>
              <w14:schemeClr w14:val="tx1"/>
            </w14:solidFill>
          </w14:textFill>
        </w:rPr>
        <w:t>；</w:t>
      </w:r>
      <w:r>
        <w:rPr>
          <w:rFonts w:hint="eastAsia" w:ascii="仿宋" w:hAnsi="仿宋" w:eastAsia="仿宋" w:cs="仿宋"/>
          <w:color w:val="000000" w:themeColor="text1"/>
          <w:sz w:val="32"/>
          <w:szCs w:val="24"/>
          <w:highlight w:val="none"/>
          <w14:textFill>
            <w14:solidFill>
              <w14:schemeClr w14:val="tx1"/>
            </w14:solidFill>
          </w14:textFill>
        </w:rPr>
        <w:t>参加或组织事故调查处理</w:t>
      </w:r>
      <w:r>
        <w:rPr>
          <w:rFonts w:hint="eastAsia" w:ascii="仿宋" w:hAnsi="仿宋" w:eastAsia="仿宋" w:cs="仿宋"/>
          <w:color w:val="000000" w:themeColor="text1"/>
          <w:sz w:val="32"/>
          <w:szCs w:val="24"/>
          <w:highlight w:val="none"/>
          <w:lang w:eastAsia="zh-CN"/>
          <w14:textFill>
            <w14:solidFill>
              <w14:schemeClr w14:val="tx1"/>
            </w14:solidFill>
          </w14:textFill>
        </w:rPr>
        <w:t>。</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市委宣传部：负责指导事故应急救援工作的新闻报道，组织、协调新闻媒体开展新闻报道和舆论引导工作。</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市经信局：负责组织、筹备有关重点抢险器材和物资，会同有关部门做好抢险器材和物资的调配工作；牵头整合各部门（单位）的业务资源和专用通信网络，确保通信畅通。</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市公安局：负责组织人员疏散和事故现场警戒，以及事故现场区域周边道路交通管制，对人员撤离区域实施治安管理；确定伤亡人员身份；参与事故调查处理。</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市消防救援支队：负责组织、指导事故现场的火灾扑救、现场被困人员的搜救、现场检测并划定警戒范围，控制易燃、易爆、有毒物质泄漏等；按照有关规定参与火灾事故的调查处理。</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卫健委：负责制定救护应急预案。确定救护定点医院和受伤人员专业治疗方案，培训相应医护人员，指导定点医院储备相应的医疗器材和急救药品。组织调派医疗专家、卫生救援队伍对伤员实施医疗救治，负责事故现场调配医务人员、医疗器材、急救药品，组织现场救护及伤员转移。负责统计伤亡人员情况。</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生态环境局：负责制定危险化学品污染事故监测与环境危害控制应急预案。负责事发地周边环境监测，及时分析事故现场环境危害的成分和程度；对可能存在较长时间环境影响的区域发出警告，提出控制措施；对事故救援过程中可能导致的水体、土壤、大气等次生污染事故提出处置措施并监督实施；事故得到控制后，监督处置单位消除现场遗留的危险物质，防止环境污染。负责调查危险化学品污染事故和生态破坏事件。</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市交通运输局：</w:t>
      </w:r>
      <w:r>
        <w:rPr>
          <w:rFonts w:hint="eastAsia" w:ascii="仿宋" w:hAnsi="仿宋" w:eastAsia="仿宋" w:cs="仿宋"/>
          <w:color w:val="000000" w:themeColor="text1"/>
          <w:sz w:val="32"/>
          <w:szCs w:val="24"/>
          <w:lang w:eastAsia="zh-CN"/>
          <w14:textFill>
            <w14:solidFill>
              <w14:schemeClr w14:val="tx1"/>
            </w14:solidFill>
          </w14:textFill>
        </w:rPr>
        <w:t>负责</w:t>
      </w:r>
      <w:r>
        <w:rPr>
          <w:rFonts w:hint="eastAsia" w:ascii="仿宋" w:hAnsi="仿宋" w:eastAsia="仿宋" w:cs="仿宋"/>
          <w:color w:val="000000" w:themeColor="text1"/>
          <w:sz w:val="32"/>
          <w:szCs w:val="24"/>
          <w14:textFill>
            <w14:solidFill>
              <w14:schemeClr w14:val="tx1"/>
            </w14:solidFill>
          </w14:textFill>
        </w:rPr>
        <w:t>道路和水上运输危险化学品，以及道路、站场和港区内危险化学品事故的应急管理和救援工作；做好交通运输保障工作，组织运输单位运送抢险物资、抢险人员和疏散人员，组织协调有关部门恢复道路、公路等交通设施，承办市应急指挥办公室涉及交通运输保障的其他事项。</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市市场监督局：负责制定压力容器、压力管道等特种设备事故应急预案。提出事故现场压力容器、压力管道等特种设备的处置方案，参加救援行动。负责市应急指挥办公室涉及</w:t>
      </w:r>
      <w:r>
        <w:rPr>
          <w:rFonts w:hint="eastAsia" w:ascii="仿宋" w:hAnsi="仿宋" w:eastAsia="仿宋" w:cs="仿宋"/>
          <w:color w:val="000000" w:themeColor="text1"/>
          <w:sz w:val="32"/>
          <w:szCs w:val="24"/>
          <w:lang w:eastAsia="zh-CN"/>
          <w14:textFill>
            <w14:solidFill>
              <w14:schemeClr w14:val="tx1"/>
            </w14:solidFill>
          </w14:textFill>
        </w:rPr>
        <w:t>市场监管</w:t>
      </w:r>
      <w:r>
        <w:rPr>
          <w:rFonts w:hint="eastAsia" w:ascii="仿宋" w:hAnsi="仿宋" w:eastAsia="仿宋" w:cs="仿宋"/>
          <w:color w:val="000000" w:themeColor="text1"/>
          <w:sz w:val="32"/>
          <w:szCs w:val="24"/>
          <w14:textFill>
            <w14:solidFill>
              <w14:schemeClr w14:val="tx1"/>
            </w14:solidFill>
          </w14:textFill>
        </w:rPr>
        <w:t>相关的其他事项。</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市建委：负责调派挖掘机、吊车、铲车等工程设备、设施以及建筑材料等物资，参加抢险救援；对因事故遭受破坏的公共设施、建筑物等进行现场紧急抢修，保证救援工作的需要。</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市民政局：负责指导、协调社会福利机构</w:t>
      </w:r>
      <w:r>
        <w:rPr>
          <w:rFonts w:hint="eastAsia" w:ascii="仿宋" w:hAnsi="仿宋" w:eastAsia="仿宋" w:cs="仿宋"/>
          <w:color w:val="000000" w:themeColor="text1"/>
          <w:sz w:val="32"/>
          <w:szCs w:val="24"/>
          <w:lang w:eastAsia="zh-CN"/>
          <w14:textFill>
            <w14:solidFill>
              <w14:schemeClr w14:val="tx1"/>
            </w14:solidFill>
          </w14:textFill>
        </w:rPr>
        <w:t>危险化学品</w:t>
      </w:r>
      <w:r>
        <w:rPr>
          <w:rFonts w:hint="eastAsia" w:ascii="仿宋" w:hAnsi="仿宋" w:eastAsia="仿宋" w:cs="仿宋"/>
          <w:color w:val="000000" w:themeColor="text1"/>
          <w:sz w:val="32"/>
          <w:szCs w:val="24"/>
          <w14:textFill>
            <w14:solidFill>
              <w14:schemeClr w14:val="tx1"/>
            </w14:solidFill>
          </w14:textFill>
        </w:rPr>
        <w:t>事故的应急处置工作；负责发动慈善组织开展救灾捐赠活动；指导、协调相关遇难人员遗体处置、困难群众基本社会服务等事务。</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市财政局：负责将市危化品事故应急准备和救援工作所需资金列入财政预算；做好处置危险化学品事故资金保障工作。</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市人防办：根据应急救援的需要，调动民防应急救援组织作为后援力量参加救援行动。</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市气象局：负责制定应急气象服务预案。负责为事故现场提供有关的风向、风速、温度、气压、湿度、雨量等气象资料。</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市总工会：配合有关部门做好事故善后处理工作。</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有关区</w:t>
      </w:r>
      <w:r>
        <w:rPr>
          <w:rFonts w:hint="eastAsia" w:ascii="仿宋" w:hAnsi="仿宋" w:eastAsia="仿宋" w:cs="仿宋"/>
          <w:color w:val="000000" w:themeColor="text1"/>
          <w:sz w:val="32"/>
          <w:szCs w:val="24"/>
          <w:lang w:eastAsia="zh-CN"/>
          <w14:textFill>
            <w14:solidFill>
              <w14:schemeClr w14:val="tx1"/>
            </w14:solidFill>
          </w14:textFill>
        </w:rPr>
        <w:t>、</w:t>
      </w:r>
      <w:r>
        <w:rPr>
          <w:rFonts w:hint="eastAsia" w:ascii="仿宋" w:hAnsi="仿宋" w:eastAsia="仿宋" w:cs="仿宋"/>
          <w:color w:val="000000" w:themeColor="text1"/>
          <w:sz w:val="32"/>
          <w:szCs w:val="24"/>
          <w14:textFill>
            <w14:solidFill>
              <w14:schemeClr w14:val="tx1"/>
            </w14:solidFill>
          </w14:textFill>
        </w:rPr>
        <w:t>县（市）政府：按照属地管理原则，做好辖区内应急队伍建设及应急物资、装备储备工作，负责组织协调应急救援后勤保障、善后处置、事后恢复等工作；现场指挥部成立后，向市应急指挥部报告现场救援情况，配合指挥部的救援行动。</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本预案中未规定危险化学品应急救援职责的应急指挥部成员单位，在应急状态下，根据市应急指挥部要求，在各自职责范围内履行相关职能。</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81" w:name="_Toc561961232"/>
      <w:bookmarkStart w:id="82" w:name="_Toc18818253"/>
      <w:bookmarkStart w:id="83" w:name="_Toc768844393"/>
      <w:bookmarkStart w:id="84" w:name="_Toc1268652710"/>
      <w:bookmarkStart w:id="85" w:name="_Toc1459699541"/>
      <w:bookmarkStart w:id="86" w:name="_Toc1434825996"/>
      <w:bookmarkStart w:id="87" w:name="_Toc1889838535"/>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3.2现场指挥部及应急工作组</w:t>
      </w:r>
      <w:bookmarkEnd w:id="81"/>
      <w:bookmarkEnd w:id="82"/>
    </w:p>
    <w:bookmarkEnd w:id="83"/>
    <w:bookmarkEnd w:id="84"/>
    <w:bookmarkEnd w:id="85"/>
    <w:bookmarkEnd w:id="86"/>
    <w:bookmarkEnd w:id="87"/>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发生或可能发生较大以上危险化学品事故，危化品应急指挥部根据应急预案需要，在事故发生地现场设立现场指挥部，组织做好危险源</w:t>
      </w:r>
      <w:r>
        <w:rPr>
          <w:rFonts w:hint="eastAsia" w:ascii="仿宋" w:hAnsi="仿宋" w:eastAsia="仿宋" w:cs="仿宋"/>
          <w:color w:val="000000" w:themeColor="text1"/>
          <w:sz w:val="32"/>
          <w:szCs w:val="24"/>
          <w:lang w:eastAsia="zh-CN"/>
          <w14:textFill>
            <w14:solidFill>
              <w14:schemeClr w14:val="tx1"/>
            </w14:solidFill>
          </w14:textFill>
        </w:rPr>
        <w:t>控制、伤员抢救、</w:t>
      </w:r>
      <w:r>
        <w:rPr>
          <w:rFonts w:hint="eastAsia" w:ascii="仿宋" w:hAnsi="仿宋" w:eastAsia="仿宋" w:cs="仿宋"/>
          <w:color w:val="000000" w:themeColor="text1"/>
          <w:sz w:val="32"/>
          <w:szCs w:val="24"/>
          <w14:textFill>
            <w14:solidFill>
              <w14:schemeClr w14:val="tx1"/>
            </w14:solidFill>
          </w14:textFill>
        </w:rPr>
        <w:t>抢险救援、警戒</w:t>
      </w:r>
      <w:r>
        <w:rPr>
          <w:rFonts w:hint="eastAsia" w:ascii="仿宋" w:hAnsi="仿宋" w:eastAsia="仿宋" w:cs="仿宋"/>
          <w:color w:val="000000" w:themeColor="text1"/>
          <w:sz w:val="32"/>
          <w:szCs w:val="24"/>
          <w:lang w:eastAsia="zh-CN"/>
          <w14:textFill>
            <w14:solidFill>
              <w14:schemeClr w14:val="tx1"/>
            </w14:solidFill>
          </w14:textFill>
        </w:rPr>
        <w:t>疏散</w:t>
      </w:r>
      <w:r>
        <w:rPr>
          <w:rFonts w:hint="eastAsia" w:ascii="仿宋" w:hAnsi="仿宋" w:eastAsia="仿宋" w:cs="仿宋"/>
          <w:color w:val="000000" w:themeColor="text1"/>
          <w:sz w:val="32"/>
          <w:szCs w:val="24"/>
          <w14:textFill>
            <w14:solidFill>
              <w14:schemeClr w14:val="tx1"/>
            </w14:solidFill>
          </w14:textFill>
        </w:rPr>
        <w:t>、</w:t>
      </w:r>
      <w:r>
        <w:rPr>
          <w:rFonts w:hint="eastAsia" w:ascii="仿宋" w:hAnsi="仿宋" w:eastAsia="仿宋" w:cs="仿宋"/>
          <w:color w:val="000000" w:themeColor="text1"/>
          <w:sz w:val="32"/>
          <w:szCs w:val="24"/>
          <w:lang w:eastAsia="zh-CN"/>
          <w14:textFill>
            <w14:solidFill>
              <w14:schemeClr w14:val="tx1"/>
            </w14:solidFill>
          </w14:textFill>
        </w:rPr>
        <w:t>物资供应、环境保护、专家咨询、新闻舆论、善后</w:t>
      </w:r>
      <w:r>
        <w:rPr>
          <w:rFonts w:hint="eastAsia" w:ascii="仿宋" w:hAnsi="仿宋" w:eastAsia="仿宋" w:cs="仿宋"/>
          <w:color w:val="000000" w:themeColor="text1"/>
          <w:sz w:val="32"/>
          <w:szCs w:val="24"/>
          <w14:textFill>
            <w14:solidFill>
              <w14:schemeClr w14:val="tx1"/>
            </w14:solidFill>
          </w14:textFill>
        </w:rPr>
        <w:t>等各项工作</w:t>
      </w:r>
      <w:r>
        <w:rPr>
          <w:rFonts w:hint="eastAsia" w:ascii="仿宋" w:hAnsi="仿宋" w:eastAsia="仿宋" w:cs="仿宋"/>
          <w:color w:val="000000" w:themeColor="text1"/>
          <w:sz w:val="32"/>
          <w:szCs w:val="24"/>
          <w:lang w:eastAsia="zh-CN"/>
          <w14:textFill>
            <w14:solidFill>
              <w14:schemeClr w14:val="tx1"/>
            </w14:solidFill>
          </w14:textFill>
        </w:rPr>
        <w:t>并</w:t>
      </w:r>
      <w:r>
        <w:rPr>
          <w:rFonts w:hint="eastAsia" w:ascii="仿宋" w:hAnsi="仿宋" w:eastAsia="仿宋" w:cs="仿宋"/>
          <w:color w:val="000000" w:themeColor="text1"/>
          <w:sz w:val="32"/>
          <w:szCs w:val="24"/>
          <w14:textFill>
            <w14:solidFill>
              <w14:schemeClr w14:val="tx1"/>
            </w14:solidFill>
          </w14:textFill>
        </w:rPr>
        <w:t>设立相关应急工作组，按照职责分工开展应急处置工作。现场指挥部总指挥由应急指挥部任命，各应急工作组组长由现场指挥部总指挥任命。现场指挥部可根据应急救援需要增减相关应急工作组。</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现场指挥部主要职责包括：</w:t>
      </w:r>
    </w:p>
    <w:p>
      <w:pPr>
        <w:pStyle w:val="26"/>
        <w:numPr>
          <w:ilvl w:val="0"/>
          <w:numId w:val="4"/>
        </w:numPr>
        <w:ind w:firstLine="604" w:firstLineChars="189"/>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指挥、协调现场的应急救援工作，组织、联络各方力量处理事故，控制事故蔓延。</w:t>
      </w:r>
    </w:p>
    <w:p>
      <w:pPr>
        <w:pStyle w:val="26"/>
        <w:numPr>
          <w:ilvl w:val="0"/>
          <w:numId w:val="4"/>
        </w:numPr>
        <w:ind w:firstLine="604" w:firstLineChars="189"/>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与事故单位和危化品应急指挥部保持密切联系，核实现场人员伤亡和损失情况，及时向危化品应急指挥部汇报抢险救援工作及事故应急处置的进展情况。</w:t>
      </w:r>
    </w:p>
    <w:p>
      <w:pPr>
        <w:pStyle w:val="26"/>
        <w:numPr>
          <w:ilvl w:val="0"/>
          <w:numId w:val="4"/>
        </w:numPr>
        <w:ind w:firstLine="604" w:firstLineChars="189"/>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组织划定危险化学品事故现场的警戒范围，实施必要的群众疏散、交通管制及其他强制性措施。</w:t>
      </w:r>
    </w:p>
    <w:p>
      <w:pPr>
        <w:pStyle w:val="26"/>
        <w:numPr>
          <w:ilvl w:val="0"/>
          <w:numId w:val="4"/>
        </w:numPr>
        <w:ind w:firstLine="604" w:firstLineChars="189"/>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协调应急救援专家指导应急救援工作。</w:t>
      </w:r>
    </w:p>
    <w:p>
      <w:pPr>
        <w:pStyle w:val="26"/>
        <w:numPr>
          <w:ilvl w:val="0"/>
          <w:numId w:val="4"/>
        </w:numPr>
        <w:ind w:firstLine="604" w:firstLineChars="189"/>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为危化品应急指挥部提供应急救援决策依据。</w:t>
      </w:r>
    </w:p>
    <w:p>
      <w:pPr>
        <w:pStyle w:val="26"/>
        <w:numPr>
          <w:ilvl w:val="0"/>
          <w:numId w:val="4"/>
        </w:numPr>
        <w:ind w:firstLine="604" w:firstLineChars="189"/>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危化品应急指挥部有关成员单位按照职责参与处置工作，包括组织营救、伤员救治、疏散撤离、安置人员、上报事故情况等。</w:t>
      </w:r>
    </w:p>
    <w:p>
      <w:pPr>
        <w:ind w:firstLine="0" w:firstLineChars="0"/>
        <w:rPr>
          <w:rFonts w:hint="eastAsia" w:ascii="仿宋" w:hAnsi="仿宋" w:eastAsia="仿宋" w:cs="仿宋"/>
          <w:color w:val="000000" w:themeColor="text1"/>
          <w:sz w:val="32"/>
          <w:szCs w:val="24"/>
          <w:lang w:eastAsia="zh-CN"/>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 xml:space="preserve">    现场指挥部各工作组职责分工一览表见附件</w:t>
      </w:r>
      <w:r>
        <w:rPr>
          <w:rFonts w:hint="eastAsia" w:ascii="仿宋" w:hAnsi="仿宋" w:eastAsia="仿宋" w:cs="仿宋"/>
          <w:color w:val="000000" w:themeColor="text1"/>
          <w:sz w:val="32"/>
          <w:szCs w:val="24"/>
          <w:lang w:val="en-US" w:eastAsia="zh-CN"/>
          <w14:textFill>
            <w14:solidFill>
              <w14:schemeClr w14:val="tx1"/>
            </w14:solidFill>
          </w14:textFill>
        </w:rPr>
        <w:t>1、2</w:t>
      </w:r>
      <w:r>
        <w:rPr>
          <w:rFonts w:hint="eastAsia" w:ascii="仿宋" w:hAnsi="仿宋" w:eastAsia="仿宋" w:cs="仿宋"/>
          <w:color w:val="000000" w:themeColor="text1"/>
          <w:sz w:val="32"/>
          <w:szCs w:val="24"/>
          <w:lang w:eastAsia="zh-CN"/>
          <w14:textFill>
            <w14:solidFill>
              <w14:schemeClr w14:val="tx1"/>
            </w14:solidFill>
          </w14:textFill>
        </w:rPr>
        <w:t>。</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88" w:name="_Toc683614947"/>
      <w:bookmarkStart w:id="89" w:name="_Toc18818254"/>
      <w:bookmarkStart w:id="90" w:name="_Toc541220417"/>
      <w:bookmarkStart w:id="91" w:name="_Toc899219068"/>
      <w:bookmarkStart w:id="92" w:name="_Toc153958389"/>
      <w:bookmarkStart w:id="93" w:name="_Toc1158352982"/>
      <w:bookmarkStart w:id="94" w:name="_Toc1718332632"/>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3.3应急救援专家组及职责</w:t>
      </w:r>
      <w:bookmarkEnd w:id="88"/>
      <w:bookmarkEnd w:id="89"/>
    </w:p>
    <w:bookmarkEnd w:id="90"/>
    <w:bookmarkEnd w:id="91"/>
    <w:bookmarkEnd w:id="92"/>
    <w:bookmarkEnd w:id="93"/>
    <w:bookmarkEnd w:id="94"/>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危化品应急指挥部办公室根据各成员单位提供的应急救援专家信息，建立各专业的危险化学品事故应急专家库。发生危险化学品事故时，根据需要，即时从专家库抽调人员组成应急救援专家组，协助事故现场指挥部研判事故危害发展的趋势、程度，为应急救援工作提供专业咨询和技术支持，并参与事故的调查分析</w:t>
      </w:r>
      <w:r>
        <w:rPr>
          <w:rFonts w:hint="eastAsia" w:ascii="仿宋" w:hAnsi="仿宋" w:eastAsia="仿宋" w:cs="仿宋"/>
          <w:color w:val="000000" w:themeColor="text1"/>
          <w:sz w:val="32"/>
          <w:szCs w:val="24"/>
          <w:lang w:eastAsia="zh-CN"/>
          <w14:textFill>
            <w14:solidFill>
              <w14:schemeClr w14:val="tx1"/>
            </w14:solidFill>
          </w14:textFill>
        </w:rPr>
        <w:t>。</w:t>
      </w:r>
      <w:r>
        <w:rPr>
          <w:rFonts w:hint="eastAsia" w:ascii="仿宋" w:hAnsi="仿宋" w:eastAsia="仿宋" w:cs="仿宋"/>
          <w:color w:val="000000" w:themeColor="text1"/>
          <w:sz w:val="32"/>
          <w:szCs w:val="24"/>
          <w14:textFill>
            <w14:solidFill>
              <w14:schemeClr w14:val="tx1"/>
            </w14:solidFill>
          </w14:textFill>
        </w:rPr>
        <w:t xml:space="preserve"> </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95" w:name="_Toc1479232312"/>
      <w:bookmarkStart w:id="96" w:name="_Toc18818255"/>
      <w:bookmarkStart w:id="97" w:name="_Toc1336756538"/>
      <w:bookmarkStart w:id="98" w:name="_Toc498121128"/>
      <w:bookmarkStart w:id="99" w:name="_Toc254104065"/>
      <w:bookmarkStart w:id="100" w:name="_Toc1754624678"/>
      <w:bookmarkStart w:id="101" w:name="_Toc279307678"/>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3.4应急救援队伍及职责</w:t>
      </w:r>
      <w:bookmarkEnd w:id="95"/>
      <w:bookmarkEnd w:id="96"/>
    </w:p>
    <w:bookmarkEnd w:id="97"/>
    <w:bookmarkEnd w:id="98"/>
    <w:bookmarkEnd w:id="99"/>
    <w:bookmarkEnd w:id="100"/>
    <w:bookmarkEnd w:id="101"/>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危险化学品事故应急救援队伍主要包括消防队伍、专业应急救援队伍（详见附件）等，是开展事故现场处置的主要应急救援力量，负责事故现场侦检、抢救伤员、控制危险源和应急处置等工作。</w:t>
      </w:r>
    </w:p>
    <w:p>
      <w:pPr>
        <w:pStyle w:val="3"/>
        <w:ind w:firstLine="722" w:firstLineChars="200"/>
        <w:jc w:val="both"/>
        <w:rPr>
          <w:rFonts w:hint="eastAsia" w:ascii="仿宋" w:hAnsi="仿宋" w:eastAsia="仿宋" w:cs="仿宋"/>
          <w:color w:val="000000" w:themeColor="text1"/>
          <w:sz w:val="36"/>
          <w:szCs w:val="48"/>
          <w14:textFill>
            <w14:solidFill>
              <w14:schemeClr w14:val="tx1"/>
            </w14:solidFill>
          </w14:textFill>
        </w:rPr>
      </w:pPr>
      <w:bookmarkStart w:id="102" w:name="_Toc1153252760"/>
      <w:bookmarkStart w:id="103" w:name="_Toc18818256"/>
      <w:bookmarkStart w:id="104" w:name="_Toc846787797"/>
      <w:bookmarkStart w:id="105" w:name="_Toc1123514925"/>
      <w:bookmarkStart w:id="106" w:name="_Toc1703520633"/>
      <w:bookmarkStart w:id="107" w:name="_Toc1911710214"/>
      <w:bookmarkStart w:id="108" w:name="_Toc521676474"/>
      <w:r>
        <w:rPr>
          <w:rFonts w:hint="eastAsia" w:ascii="仿宋" w:hAnsi="仿宋" w:eastAsia="仿宋" w:cs="仿宋"/>
          <w:color w:val="000000" w:themeColor="text1"/>
          <w:sz w:val="36"/>
          <w:szCs w:val="48"/>
          <w14:textFill>
            <w14:solidFill>
              <w14:schemeClr w14:val="tx1"/>
            </w14:solidFill>
          </w14:textFill>
        </w:rPr>
        <w:t>4</w:t>
      </w:r>
      <w:r>
        <w:rPr>
          <w:rFonts w:hint="eastAsia" w:ascii="仿宋" w:hAnsi="仿宋" w:eastAsia="仿宋" w:cs="仿宋"/>
          <w:color w:val="000000" w:themeColor="text1"/>
          <w:sz w:val="36"/>
          <w:szCs w:val="48"/>
          <w:lang w:val="en-US" w:eastAsia="zh-CN"/>
          <w14:textFill>
            <w14:solidFill>
              <w14:schemeClr w14:val="tx1"/>
            </w14:solidFill>
          </w14:textFill>
        </w:rPr>
        <w:t xml:space="preserve"> </w:t>
      </w:r>
      <w:r>
        <w:rPr>
          <w:rFonts w:hint="eastAsia" w:ascii="仿宋" w:hAnsi="仿宋" w:eastAsia="仿宋" w:cs="仿宋"/>
          <w:color w:val="000000" w:themeColor="text1"/>
          <w:sz w:val="36"/>
          <w:szCs w:val="48"/>
          <w14:textFill>
            <w14:solidFill>
              <w14:schemeClr w14:val="tx1"/>
            </w14:solidFill>
          </w14:textFill>
        </w:rPr>
        <w:t>监测与预警</w:t>
      </w:r>
      <w:bookmarkEnd w:id="102"/>
      <w:bookmarkEnd w:id="103"/>
      <w:bookmarkEnd w:id="104"/>
      <w:bookmarkEnd w:id="105"/>
      <w:bookmarkEnd w:id="106"/>
      <w:bookmarkEnd w:id="107"/>
      <w:bookmarkEnd w:id="108"/>
    </w:p>
    <w:p>
      <w:pPr>
        <w:ind w:left="0" w:leftChars="0" w:firstLine="640"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危险化学品生产、储存企业要完善管理制度，加强对重大危险源的监测预警，对可能引发生产安全事故的险情等重要信息，应及时上报当地政府和行业主管部门，同时应采取有效措施，防止事故发生。各级政府及有关部门（单位）应建立危险化学品企业事故风险研判机制，建立完善危险化学品重大危险源监控数据库，加强对关键基础设施的安全监督检查，督促企业制定风险管控方案，对危险化学品生产、储存等诸环节可能发生的事故定期进行综合评估和预防分析。自然灾害、社会安全等方面的突发事件可能引发危险化学品生产安全事故的信息，各相关部门应及时通报同级应急管理部门。</w:t>
      </w:r>
      <w:bookmarkStart w:id="109" w:name="_Toc18818258"/>
      <w:bookmarkStart w:id="110" w:name="_Toc1609430926"/>
    </w:p>
    <w:bookmarkEnd w:id="109"/>
    <w:bookmarkEnd w:id="110"/>
    <w:p>
      <w:pPr>
        <w:pStyle w:val="3"/>
        <w:ind w:firstLine="482"/>
        <w:rPr>
          <w:rFonts w:hint="eastAsia" w:ascii="仿宋" w:hAnsi="仿宋" w:eastAsia="仿宋" w:cs="仿宋"/>
          <w:color w:val="000000" w:themeColor="text1"/>
          <w:sz w:val="36"/>
          <w:szCs w:val="48"/>
          <w14:textFill>
            <w14:solidFill>
              <w14:schemeClr w14:val="tx1"/>
            </w14:solidFill>
          </w14:textFill>
        </w:rPr>
      </w:pPr>
      <w:r>
        <w:rPr>
          <w:rFonts w:hint="eastAsia" w:ascii="仿宋" w:hAnsi="仿宋" w:eastAsia="仿宋" w:cs="仿宋"/>
          <w:color w:val="000000" w:themeColor="text1"/>
          <w:sz w:val="36"/>
          <w:szCs w:val="48"/>
          <w14:textFill>
            <w14:solidFill>
              <w14:schemeClr w14:val="tx1"/>
            </w14:solidFill>
          </w14:textFill>
        </w:rPr>
        <w:t xml:space="preserve"> </w:t>
      </w:r>
      <w:bookmarkStart w:id="111" w:name="_Toc1234053445"/>
      <w:bookmarkStart w:id="112" w:name="_Toc869035180"/>
      <w:bookmarkStart w:id="113" w:name="_Toc1244431852"/>
      <w:bookmarkStart w:id="114" w:name="_Toc18818259"/>
      <w:bookmarkStart w:id="115" w:name="_Toc842247590"/>
      <w:bookmarkStart w:id="116" w:name="_Toc1491221486"/>
      <w:bookmarkStart w:id="117" w:name="_Toc2077141231"/>
      <w:r>
        <w:rPr>
          <w:rFonts w:hint="eastAsia" w:ascii="仿宋" w:hAnsi="仿宋" w:eastAsia="仿宋" w:cs="仿宋"/>
          <w:color w:val="000000" w:themeColor="text1"/>
          <w:sz w:val="36"/>
          <w:szCs w:val="48"/>
          <w14:textFill>
            <w14:solidFill>
              <w14:schemeClr w14:val="tx1"/>
            </w14:solidFill>
          </w14:textFill>
        </w:rPr>
        <w:t>5  应急响应</w:t>
      </w:r>
      <w:bookmarkEnd w:id="111"/>
      <w:bookmarkEnd w:id="112"/>
      <w:bookmarkEnd w:id="113"/>
      <w:bookmarkEnd w:id="114"/>
      <w:bookmarkEnd w:id="115"/>
      <w:bookmarkEnd w:id="116"/>
      <w:bookmarkEnd w:id="117"/>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118" w:name="_Toc18818260"/>
      <w:bookmarkStart w:id="119" w:name="_Toc22052596"/>
      <w:bookmarkStart w:id="120" w:name="_Toc768827995"/>
      <w:bookmarkStart w:id="121" w:name="_Toc1895120956"/>
      <w:bookmarkStart w:id="122" w:name="_Toc1510882607"/>
      <w:bookmarkStart w:id="123" w:name="_Toc1629288221"/>
      <w:bookmarkStart w:id="124" w:name="_Toc349901511"/>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5.1信息报告</w:t>
      </w:r>
      <w:bookmarkEnd w:id="118"/>
      <w:bookmarkEnd w:id="119"/>
    </w:p>
    <w:bookmarkEnd w:id="120"/>
    <w:bookmarkEnd w:id="121"/>
    <w:bookmarkEnd w:id="122"/>
    <w:bookmarkEnd w:id="123"/>
    <w:bookmarkEnd w:id="124"/>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危险化学品事故发生后，事故现场有关人员和单位负责人应按照本单位应急预案立即开展现场处置，同时立即报告事故发生地区、县（市）政府及其相关管理部门。</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相关部门（单位）在接到报告后，应当立即派人前往现场，初步判定事故等级，按照下列规定逐级上报事故情况并同时报告本级政府：特别重大事故、重大事故逐级上报国家应急管理</w:t>
      </w:r>
      <w:r>
        <w:rPr>
          <w:rFonts w:hint="eastAsia" w:ascii="仿宋" w:hAnsi="仿宋" w:eastAsia="仿宋" w:cs="仿宋"/>
          <w:color w:val="000000" w:themeColor="text1"/>
          <w:sz w:val="32"/>
          <w:szCs w:val="24"/>
          <w:lang w:eastAsia="zh-CN"/>
          <w14:textFill>
            <w14:solidFill>
              <w14:schemeClr w14:val="tx1"/>
            </w14:solidFill>
          </w14:textFill>
        </w:rPr>
        <w:t>部</w:t>
      </w:r>
      <w:r>
        <w:rPr>
          <w:rFonts w:hint="eastAsia" w:ascii="仿宋" w:hAnsi="仿宋" w:eastAsia="仿宋" w:cs="仿宋"/>
          <w:color w:val="000000" w:themeColor="text1"/>
          <w:sz w:val="32"/>
          <w:szCs w:val="24"/>
          <w14:textFill>
            <w14:solidFill>
              <w14:schemeClr w14:val="tx1"/>
            </w14:solidFill>
          </w14:textFill>
        </w:rPr>
        <w:t>和国家其他相关部委；较大事故逐级上报至省应急管理</w:t>
      </w:r>
      <w:r>
        <w:rPr>
          <w:rFonts w:hint="eastAsia" w:ascii="仿宋" w:hAnsi="仿宋" w:eastAsia="仿宋" w:cs="仿宋"/>
          <w:color w:val="000000" w:themeColor="text1"/>
          <w:sz w:val="32"/>
          <w:szCs w:val="24"/>
          <w:lang w:eastAsia="zh-CN"/>
          <w14:textFill>
            <w14:solidFill>
              <w14:schemeClr w14:val="tx1"/>
            </w14:solidFill>
          </w14:textFill>
        </w:rPr>
        <w:t>厅</w:t>
      </w:r>
      <w:r>
        <w:rPr>
          <w:rFonts w:hint="eastAsia" w:ascii="仿宋" w:hAnsi="仿宋" w:eastAsia="仿宋" w:cs="仿宋"/>
          <w:color w:val="000000" w:themeColor="text1"/>
          <w:sz w:val="32"/>
          <w:szCs w:val="24"/>
          <w14:textFill>
            <w14:solidFill>
              <w14:schemeClr w14:val="tx1"/>
            </w14:solidFill>
          </w14:textFill>
        </w:rPr>
        <w:t>和省其他有关部门；一般事故上报至市应急管理局和市相关其他部门。每级上报的时间不得超过</w:t>
      </w:r>
      <w:r>
        <w:rPr>
          <w:rFonts w:hint="eastAsia" w:ascii="仿宋" w:hAnsi="仿宋" w:eastAsia="仿宋" w:cs="仿宋"/>
          <w:color w:val="000000" w:themeColor="text1"/>
          <w:sz w:val="32"/>
          <w:szCs w:val="24"/>
          <w:lang w:val="en-US" w:eastAsia="zh-CN"/>
          <w14:textFill>
            <w14:solidFill>
              <w14:schemeClr w14:val="tx1"/>
            </w14:solidFill>
          </w14:textFill>
        </w:rPr>
        <w:t>1</w:t>
      </w:r>
      <w:r>
        <w:rPr>
          <w:rFonts w:hint="eastAsia" w:ascii="仿宋" w:hAnsi="仿宋" w:eastAsia="仿宋" w:cs="仿宋"/>
          <w:color w:val="000000" w:themeColor="text1"/>
          <w:sz w:val="32"/>
          <w:szCs w:val="24"/>
          <w14:textFill>
            <w14:solidFill>
              <w14:schemeClr w14:val="tx1"/>
            </w14:solidFill>
          </w14:textFill>
        </w:rPr>
        <w:t>小时，接到上级部门要求核报的信息，原则上电话反馈时间不超过30分钟，必要时可以越级上报事故情况。</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相关部门接到一般及以上事故报告后，应当立即核实并保证30分钟内电话向杭州市委市政府值班室、杭州市</w:t>
      </w:r>
      <w:r>
        <w:rPr>
          <w:rFonts w:hint="eastAsia" w:ascii="仿宋" w:hAnsi="仿宋" w:eastAsia="仿宋" w:cs="仿宋"/>
          <w:color w:val="000000" w:themeColor="text1"/>
          <w:sz w:val="32"/>
          <w:szCs w:val="24"/>
          <w:lang w:eastAsia="zh-CN"/>
          <w14:textFill>
            <w14:solidFill>
              <w14:schemeClr w14:val="tx1"/>
            </w14:solidFill>
          </w14:textFill>
        </w:rPr>
        <w:t>应急管理局</w:t>
      </w:r>
      <w:r>
        <w:rPr>
          <w:rFonts w:hint="eastAsia" w:ascii="仿宋" w:hAnsi="仿宋" w:eastAsia="仿宋" w:cs="仿宋"/>
          <w:color w:val="000000" w:themeColor="text1"/>
          <w:sz w:val="32"/>
          <w:szCs w:val="24"/>
          <w14:textFill>
            <w14:solidFill>
              <w14:schemeClr w14:val="tx1"/>
            </w14:solidFill>
          </w14:textFill>
        </w:rPr>
        <w:t>报告初步情况，在事发1小时内书面报送相关材料，因特殊情况难以在1小时内书面报送情况的，须提前口头报告并简要说明原因。</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信息报告内容应包括：发生事故的单位、时间、地点；事故单位概况情况；事故的简要经过；事故可能的原因及涉及危险化学品名称和数量、性质、影响范围、伤亡人数、直接经济损失的初步判断；事故抢救处理情况和已采取的措施；请求有关部门和单位协助抢救和处理的有关具体事宜。</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对上述事故情况尚未报告清楚或者报告事故后出现新情况的，事故报告单位应当及时逐级续报或者补报。</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125" w:name="_Toc569409275"/>
      <w:bookmarkStart w:id="126" w:name="_Toc18818261"/>
      <w:bookmarkStart w:id="127" w:name="_Toc145457063"/>
      <w:bookmarkStart w:id="128" w:name="_Toc557040681"/>
      <w:bookmarkStart w:id="129" w:name="_Toc370195628"/>
      <w:bookmarkStart w:id="130" w:name="_Toc1509816030"/>
      <w:bookmarkStart w:id="131" w:name="_Toc608701795"/>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5.2先期处置</w:t>
      </w:r>
      <w:bookmarkEnd w:id="125"/>
      <w:bookmarkEnd w:id="126"/>
    </w:p>
    <w:bookmarkEnd w:id="127"/>
    <w:bookmarkEnd w:id="128"/>
    <w:bookmarkEnd w:id="129"/>
    <w:bookmarkEnd w:id="130"/>
    <w:bookmarkEnd w:id="131"/>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危险化学品企业事故发生后，事发企业是事故第一应急响应者，应立即组织做好先期处置工作。</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（1）在确保安全的前提下组织抢救遇险人员，控制危险源，封锁危险场所。组织现场人员及时、有序撤离到安全地点，减少人员伤亡。杜绝盲目施救，防止事态扩大。</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（2）依法依规及时、如实向事故发生地县级政府应急管理部门和其他有关部门报告事故情况，不得瞒报、谎报、迟报、漏报，不得故意破坏事故现场、毁灭证据。</w:t>
      </w:r>
    </w:p>
    <w:p>
      <w:pPr>
        <w:ind w:left="0" w:leftChars="0" w:firstLine="640"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事故发生地县级政府在接到危险化学品企业事故报告后，应迅速组织应急管理、公安、生态环境、卫生健康、消防救援等有关部门（机构）立即开展应急处置，第一时间抢救受伤受困人员，及时疏导现场交通，维护现场秩序，加强现场监测和应急防护，防止发生次生、衍生灾害，最大限度减少公众生命财产损失。</w:t>
      </w:r>
      <w:bookmarkStart w:id="132" w:name="_Toc18818262"/>
      <w:bookmarkStart w:id="133" w:name="_Toc319106653"/>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134" w:name="_Toc1283397241"/>
      <w:bookmarkStart w:id="135" w:name="_Toc744861722"/>
      <w:bookmarkStart w:id="136" w:name="_Toc519783612"/>
      <w:bookmarkStart w:id="137" w:name="_Toc175755747"/>
      <w:bookmarkStart w:id="138" w:name="_Toc1205433099"/>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5.3应急响应</w:t>
      </w:r>
      <w:bookmarkEnd w:id="132"/>
      <w:bookmarkEnd w:id="133"/>
    </w:p>
    <w:bookmarkEnd w:id="134"/>
    <w:bookmarkEnd w:id="135"/>
    <w:bookmarkEnd w:id="136"/>
    <w:bookmarkEnd w:id="137"/>
    <w:bookmarkEnd w:id="138"/>
    <w:p>
      <w:pPr>
        <w:numPr>
          <w:ilvl w:val="-1"/>
          <w:numId w:val="0"/>
        </w:numPr>
        <w:ind w:left="0" w:firstLine="640" w:firstLineChars="2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lang w:val="en-US" w:eastAsia="zh-CN"/>
          <w14:textFill>
            <w14:solidFill>
              <w14:schemeClr w14:val="tx1"/>
            </w14:solidFill>
          </w14:textFill>
        </w:rPr>
        <w:t>5.3.1</w:t>
      </w:r>
      <w:r>
        <w:rPr>
          <w:rFonts w:hint="eastAsia" w:ascii="仿宋" w:hAnsi="仿宋" w:eastAsia="仿宋" w:cs="仿宋"/>
          <w:color w:val="000000" w:themeColor="text1"/>
          <w:sz w:val="32"/>
          <w:szCs w:val="24"/>
          <w14:textFill>
            <w14:solidFill>
              <w14:schemeClr w14:val="tx1"/>
            </w14:solidFill>
          </w14:textFill>
        </w:rPr>
        <w:t>IV级应急响应</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 xml:space="preserve">当发生一般危险化学品事故时，市危化品应急指挥部视情启动Ⅳ级应急响应，采取下列措施： </w:t>
      </w:r>
    </w:p>
    <w:p>
      <w:pPr>
        <w:pStyle w:val="26"/>
        <w:tabs>
          <w:tab w:val="left" w:pos="1418"/>
          <w:tab w:val="left" w:pos="1560"/>
        </w:tabs>
        <w:ind w:firstLine="755" w:firstLineChars="236"/>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 xml:space="preserve">(1)密切关注危险化学品事故救援进展，督促事故发生地政府加强事故发展趋势研判； </w:t>
      </w:r>
    </w:p>
    <w:p>
      <w:pPr>
        <w:tabs>
          <w:tab w:val="left" w:pos="1418"/>
          <w:tab w:val="left" w:pos="1560"/>
        </w:tabs>
        <w:ind w:firstLine="755" w:firstLineChars="236"/>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(2)加强与事故发生地政府和市级有关部门沟通，及时掌握事故次生灾害发生情况，给予必要</w:t>
      </w:r>
      <w:r>
        <w:rPr>
          <w:rFonts w:hint="eastAsia" w:ascii="仿宋" w:hAnsi="仿宋" w:eastAsia="仿宋" w:cs="仿宋"/>
          <w:color w:val="000000" w:themeColor="text1"/>
          <w:sz w:val="32"/>
          <w:szCs w:val="24"/>
          <w:lang w:eastAsia="zh-CN"/>
          <w14:textFill>
            <w14:solidFill>
              <w14:schemeClr w14:val="tx1"/>
            </w14:solidFill>
          </w14:textFill>
        </w:rPr>
        <w:t>的</w:t>
      </w:r>
      <w:r>
        <w:rPr>
          <w:rFonts w:hint="eastAsia" w:ascii="仿宋" w:hAnsi="仿宋" w:eastAsia="仿宋" w:cs="仿宋"/>
          <w:color w:val="000000" w:themeColor="text1"/>
          <w:sz w:val="32"/>
          <w:szCs w:val="24"/>
          <w14:textFill>
            <w14:solidFill>
              <w14:schemeClr w14:val="tx1"/>
            </w14:solidFill>
          </w14:textFill>
        </w:rPr>
        <w:t xml:space="preserve">应急救援指导； </w:t>
      </w:r>
    </w:p>
    <w:p>
      <w:pPr>
        <w:tabs>
          <w:tab w:val="left" w:pos="1418"/>
          <w:tab w:val="left" w:pos="1560"/>
        </w:tabs>
        <w:ind w:firstLine="755" w:firstLineChars="236"/>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(3)根据需要，调派周边危险化学品专业应急救援队伍支援事故抢险救援。</w:t>
      </w:r>
    </w:p>
    <w:p>
      <w:pPr>
        <w:pStyle w:val="26"/>
        <w:numPr>
          <w:ilvl w:val="-1"/>
          <w:numId w:val="0"/>
        </w:numPr>
        <w:ind w:left="600" w:firstLine="0" w:firstLineChars="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lang w:val="en-US" w:eastAsia="zh-CN"/>
          <w14:textFill>
            <w14:solidFill>
              <w14:schemeClr w14:val="tx1"/>
            </w14:solidFill>
          </w14:textFill>
        </w:rPr>
        <w:t>5.3.2</w:t>
      </w:r>
      <w:r>
        <w:rPr>
          <w:rFonts w:hint="eastAsia" w:ascii="仿宋" w:hAnsi="仿宋" w:eastAsia="仿宋" w:cs="仿宋"/>
          <w:color w:val="000000" w:themeColor="text1"/>
          <w:sz w:val="32"/>
          <w:szCs w:val="24"/>
          <w14:textFill>
            <w14:solidFill>
              <w14:schemeClr w14:val="tx1"/>
            </w14:solidFill>
          </w14:textFill>
        </w:rPr>
        <w:t>III级应急响应</w:t>
      </w:r>
    </w:p>
    <w:p>
      <w:pPr>
        <w:pStyle w:val="26"/>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发生较大危险化学品事故时，启动III级应急响应，采取以下措施：</w:t>
      </w:r>
    </w:p>
    <w:p>
      <w:pPr>
        <w:pStyle w:val="26"/>
        <w:ind w:firstLine="600"/>
        <w:rPr>
          <w:rFonts w:hint="eastAsia" w:ascii="仿宋" w:hAnsi="仿宋" w:eastAsia="仿宋" w:cs="仿宋"/>
          <w:color w:val="000000" w:themeColor="text1"/>
          <w:sz w:val="32"/>
          <w:szCs w:val="24"/>
          <w:lang w:eastAsia="zh-CN"/>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（1）</w:t>
      </w:r>
      <w:r>
        <w:rPr>
          <w:rFonts w:hint="eastAsia" w:ascii="仿宋" w:hAnsi="仿宋" w:eastAsia="仿宋" w:cs="仿宋"/>
          <w:color w:val="000000" w:themeColor="text1"/>
          <w:sz w:val="32"/>
          <w:szCs w:val="24"/>
          <w:lang w:eastAsia="zh-CN"/>
          <w14:textFill>
            <w14:solidFill>
              <w14:schemeClr w14:val="tx1"/>
            </w14:solidFill>
          </w14:textFill>
        </w:rPr>
        <w:t>市</w:t>
      </w:r>
      <w:r>
        <w:rPr>
          <w:rFonts w:hint="eastAsia" w:ascii="仿宋" w:hAnsi="仿宋" w:eastAsia="仿宋" w:cs="仿宋"/>
          <w:color w:val="000000" w:themeColor="text1"/>
          <w:sz w:val="32"/>
          <w:szCs w:val="24"/>
          <w14:textFill>
            <w14:solidFill>
              <w14:schemeClr w14:val="tx1"/>
            </w14:solidFill>
          </w14:textFill>
        </w:rPr>
        <w:t>应急指挥部派出工作组指导事故发生地政府开展应急救援工作，并根据需要成立现场指挥部</w:t>
      </w:r>
      <w:r>
        <w:rPr>
          <w:rFonts w:hint="eastAsia" w:ascii="仿宋" w:hAnsi="仿宋" w:eastAsia="仿宋" w:cs="仿宋"/>
          <w:color w:val="000000" w:themeColor="text1"/>
          <w:sz w:val="32"/>
          <w:szCs w:val="24"/>
          <w:lang w:eastAsia="zh-CN"/>
          <w14:textFill>
            <w14:solidFill>
              <w14:schemeClr w14:val="tx1"/>
            </w14:solidFill>
          </w14:textFill>
        </w:rPr>
        <w:t>；</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（2）</w:t>
      </w:r>
      <w:r>
        <w:rPr>
          <w:rFonts w:hint="eastAsia" w:ascii="仿宋" w:hAnsi="仿宋" w:eastAsia="仿宋" w:cs="仿宋"/>
          <w:color w:val="000000" w:themeColor="text1"/>
          <w:sz w:val="32"/>
          <w:szCs w:val="24"/>
          <w:lang w:eastAsia="zh-CN"/>
          <w14:textFill>
            <w14:solidFill>
              <w14:schemeClr w14:val="tx1"/>
            </w14:solidFill>
          </w14:textFill>
        </w:rPr>
        <w:t>市应急管理局</w:t>
      </w:r>
      <w:r>
        <w:rPr>
          <w:rFonts w:hint="eastAsia" w:ascii="仿宋" w:hAnsi="仿宋" w:eastAsia="仿宋" w:cs="仿宋"/>
          <w:color w:val="000000" w:themeColor="text1"/>
          <w:sz w:val="32"/>
          <w:szCs w:val="24"/>
          <w14:textFill>
            <w14:solidFill>
              <w14:schemeClr w14:val="tx1"/>
            </w14:solidFill>
          </w14:textFill>
        </w:rPr>
        <w:t>通知相关成员单位、技术专家赶赴事故现场，成立</w:t>
      </w:r>
      <w:r>
        <w:rPr>
          <w:rFonts w:hint="eastAsia" w:ascii="仿宋" w:hAnsi="仿宋" w:eastAsia="仿宋" w:cs="仿宋"/>
          <w:color w:val="000000" w:themeColor="text1"/>
          <w:sz w:val="32"/>
          <w:szCs w:val="24"/>
          <w:lang w:eastAsia="zh-CN"/>
          <w14:textFill>
            <w14:solidFill>
              <w14:schemeClr w14:val="tx1"/>
            </w14:solidFill>
          </w14:textFill>
        </w:rPr>
        <w:t>现场</w:t>
      </w:r>
      <w:r>
        <w:rPr>
          <w:rFonts w:hint="eastAsia" w:ascii="仿宋" w:hAnsi="仿宋" w:eastAsia="仿宋" w:cs="仿宋"/>
          <w:color w:val="000000" w:themeColor="text1"/>
          <w:sz w:val="32"/>
          <w:szCs w:val="24"/>
          <w14:textFill>
            <w14:solidFill>
              <w14:schemeClr w14:val="tx1"/>
            </w14:solidFill>
          </w14:textFill>
        </w:rPr>
        <w:t>应急工作组，指导现场应急处置，研判事态发展趋势，开展抢险救援工作，制定防范事故次生灾害控制的对策措施</w:t>
      </w:r>
      <w:r>
        <w:rPr>
          <w:rFonts w:hint="eastAsia" w:ascii="仿宋" w:hAnsi="仿宋" w:eastAsia="仿宋" w:cs="仿宋"/>
          <w:color w:val="000000" w:themeColor="text1"/>
          <w:sz w:val="32"/>
          <w:szCs w:val="24"/>
          <w:lang w:eastAsia="zh-CN"/>
          <w14:textFill>
            <w14:solidFill>
              <w14:schemeClr w14:val="tx1"/>
            </w14:solidFill>
          </w14:textFill>
        </w:rPr>
        <w:t>；</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（3）根据救援需要，协调相邻地区地方政府，调拨应急救援装备和物资，调配市级危险化学品专业应急救援队伍支援现场处置</w:t>
      </w:r>
      <w:r>
        <w:rPr>
          <w:rFonts w:hint="eastAsia" w:ascii="仿宋" w:hAnsi="仿宋" w:eastAsia="仿宋" w:cs="仿宋"/>
          <w:color w:val="000000" w:themeColor="text1"/>
          <w:sz w:val="32"/>
          <w:szCs w:val="24"/>
          <w:lang w:eastAsia="zh-CN"/>
          <w14:textFill>
            <w14:solidFill>
              <w14:schemeClr w14:val="tx1"/>
            </w14:solidFill>
          </w14:textFill>
        </w:rPr>
        <w:t>；</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（4）当确定危险化学品事故不能很快得到有效控制，可能导致</w:t>
      </w:r>
      <w:r>
        <w:rPr>
          <w:rFonts w:hint="eastAsia" w:ascii="仿宋" w:hAnsi="仿宋" w:eastAsia="仿宋" w:cs="仿宋"/>
          <w:color w:val="000000" w:themeColor="text1"/>
          <w:sz w:val="32"/>
          <w:szCs w:val="24"/>
          <w:lang w:eastAsia="zh-CN"/>
          <w14:textFill>
            <w14:solidFill>
              <w14:schemeClr w14:val="tx1"/>
            </w14:solidFill>
          </w14:textFill>
        </w:rPr>
        <w:t>严重</w:t>
      </w:r>
      <w:r>
        <w:rPr>
          <w:rFonts w:hint="eastAsia" w:ascii="仿宋" w:hAnsi="仿宋" w:eastAsia="仿宋" w:cs="仿宋"/>
          <w:color w:val="000000" w:themeColor="text1"/>
          <w:sz w:val="32"/>
          <w:szCs w:val="24"/>
          <w14:textFill>
            <w14:solidFill>
              <w14:schemeClr w14:val="tx1"/>
            </w14:solidFill>
          </w14:textFill>
        </w:rPr>
        <w:t>后果时，立即请求启动省级危险化学品应急救援预案。原有</w:t>
      </w:r>
      <w:r>
        <w:rPr>
          <w:rFonts w:hint="eastAsia" w:ascii="仿宋" w:hAnsi="仿宋" w:eastAsia="仿宋" w:cs="仿宋"/>
          <w:color w:val="000000" w:themeColor="text1"/>
          <w:sz w:val="32"/>
          <w:szCs w:val="24"/>
          <w:lang w:eastAsia="zh-CN"/>
          <w14:textFill>
            <w14:solidFill>
              <w14:schemeClr w14:val="tx1"/>
            </w14:solidFill>
          </w14:textFill>
        </w:rPr>
        <w:t>各工作组按照分工</w:t>
      </w:r>
      <w:r>
        <w:rPr>
          <w:rFonts w:hint="eastAsia" w:ascii="仿宋" w:hAnsi="仿宋" w:eastAsia="仿宋" w:cs="仿宋"/>
          <w:color w:val="000000" w:themeColor="text1"/>
          <w:sz w:val="32"/>
          <w:szCs w:val="24"/>
          <w14:textFill>
            <w14:solidFill>
              <w14:schemeClr w14:val="tx1"/>
            </w14:solidFill>
          </w14:textFill>
        </w:rPr>
        <w:t>配合省危险化学品事故应急救援行动。</w:t>
      </w:r>
    </w:p>
    <w:p>
      <w:pPr>
        <w:pStyle w:val="26"/>
        <w:numPr>
          <w:ilvl w:val="-1"/>
          <w:numId w:val="0"/>
        </w:numPr>
        <w:ind w:left="600" w:firstLine="0" w:firstLineChars="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lang w:val="en-US" w:eastAsia="zh-CN"/>
          <w14:textFill>
            <w14:solidFill>
              <w14:schemeClr w14:val="tx1"/>
            </w14:solidFill>
          </w14:textFill>
        </w:rPr>
        <w:t>5.3.3</w:t>
      </w:r>
      <w:r>
        <w:rPr>
          <w:rFonts w:hint="eastAsia" w:ascii="仿宋" w:hAnsi="仿宋" w:eastAsia="仿宋" w:cs="仿宋"/>
          <w:color w:val="000000" w:themeColor="text1"/>
          <w:sz w:val="32"/>
          <w:szCs w:val="24"/>
          <w14:textFill>
            <w14:solidFill>
              <w14:schemeClr w14:val="tx1"/>
            </w14:solidFill>
          </w14:textFill>
        </w:rPr>
        <w:t>II、I级应急响应</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当发生重大、特别重大危化品事故时，市应急指挥部提请省应急指挥部按程序批准启动相应的应急响应。省、国家相关应急机构启动II级、I级应急响应</w:t>
      </w:r>
      <w:r>
        <w:rPr>
          <w:rFonts w:hint="eastAsia" w:ascii="仿宋" w:hAnsi="仿宋" w:eastAsia="仿宋" w:cs="仿宋"/>
          <w:color w:val="000000" w:themeColor="text1"/>
          <w:sz w:val="32"/>
          <w:szCs w:val="24"/>
          <w:lang w:eastAsia="zh-CN"/>
          <w14:textFill>
            <w14:solidFill>
              <w14:schemeClr w14:val="tx1"/>
            </w14:solidFill>
          </w14:textFill>
        </w:rPr>
        <w:t>后</w:t>
      </w:r>
      <w:r>
        <w:rPr>
          <w:rFonts w:hint="eastAsia" w:ascii="仿宋" w:hAnsi="仿宋" w:eastAsia="仿宋" w:cs="仿宋"/>
          <w:color w:val="000000" w:themeColor="text1"/>
          <w:sz w:val="32"/>
          <w:szCs w:val="24"/>
          <w14:textFill>
            <w14:solidFill>
              <w14:schemeClr w14:val="tx1"/>
            </w14:solidFill>
          </w14:textFill>
        </w:rPr>
        <w:t>，按照上级</w:t>
      </w:r>
      <w:r>
        <w:rPr>
          <w:rFonts w:hint="eastAsia" w:ascii="仿宋" w:hAnsi="仿宋" w:eastAsia="仿宋" w:cs="仿宋"/>
          <w:color w:val="000000" w:themeColor="text1"/>
          <w:sz w:val="32"/>
          <w:szCs w:val="24"/>
          <w:lang w:eastAsia="zh-CN"/>
          <w14:textFill>
            <w14:solidFill>
              <w14:schemeClr w14:val="tx1"/>
            </w14:solidFill>
          </w14:textFill>
        </w:rPr>
        <w:t>应急指挥</w:t>
      </w:r>
      <w:r>
        <w:rPr>
          <w:rFonts w:hint="eastAsia" w:ascii="仿宋" w:hAnsi="仿宋" w:eastAsia="仿宋" w:cs="仿宋"/>
          <w:color w:val="000000" w:themeColor="text1"/>
          <w:sz w:val="32"/>
          <w:szCs w:val="24"/>
          <w14:textFill>
            <w14:solidFill>
              <w14:schemeClr w14:val="tx1"/>
            </w14:solidFill>
          </w14:textFill>
        </w:rPr>
        <w:t>机构的统一部署、要求，组织、协调本市各方面的应急资源，配合省、国家相关应急机构做好救援处置工作。</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139" w:name="_Toc18818263"/>
      <w:bookmarkStart w:id="140" w:name="_Toc1010711128"/>
      <w:bookmarkStart w:id="141" w:name="_Toc2105136110"/>
      <w:bookmarkStart w:id="142" w:name="_Toc931423931"/>
      <w:bookmarkStart w:id="143" w:name="_Toc280826656"/>
      <w:bookmarkStart w:id="144" w:name="_Toc1010944653"/>
      <w:bookmarkStart w:id="145" w:name="_Toc1569213882"/>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5.4应急处置措施</w:t>
      </w:r>
      <w:bookmarkEnd w:id="139"/>
      <w:bookmarkEnd w:id="140"/>
    </w:p>
    <w:bookmarkEnd w:id="141"/>
    <w:bookmarkEnd w:id="142"/>
    <w:bookmarkEnd w:id="143"/>
    <w:bookmarkEnd w:id="144"/>
    <w:bookmarkEnd w:id="145"/>
    <w:p>
      <w:pPr>
        <w:ind w:firstLine="755" w:firstLineChars="236"/>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 xml:space="preserve">根据事故发展变化的情况，现场指挥部在充分考虑各方意见的基础上，决定应急处置方案，采取紧急处置措施。涉及跨区县（市）的紧急处置方案由市应急指挥部决定。现场指挥部需要及时了解危险化学品事故现场具体情况，制定有针对性的危险化学品事故应急处置方案，划定事故现场危害范围，采取安全、可靠、有效的应急救援行动。　 </w:t>
      </w:r>
    </w:p>
    <w:p>
      <w:pPr>
        <w:ind w:left="0" w:leftChars="0" w:firstLine="642" w:firstLineChars="200"/>
        <w:rPr>
          <w:rStyle w:val="23"/>
          <w:rFonts w:hint="eastAsia" w:ascii="仿宋" w:hAnsi="仿宋" w:eastAsia="仿宋" w:cs="仿宋"/>
          <w:color w:val="000000" w:themeColor="text1"/>
          <w:kern w:val="2"/>
          <w:sz w:val="32"/>
          <w:szCs w:val="36"/>
          <w:highlight w:val="none"/>
          <w:lang w:val="en-US" w:eastAsia="zh-CN" w:bidi="ar-SA"/>
          <w14:textFill>
            <w14:solidFill>
              <w14:schemeClr w14:val="tx1"/>
            </w14:solidFill>
          </w14:textFill>
        </w:rPr>
      </w:pPr>
      <w:bookmarkStart w:id="146" w:name="_Toc1833286751"/>
      <w:bookmarkStart w:id="147" w:name="_Toc18818264"/>
      <w:bookmarkStart w:id="148" w:name="_Toc1153302219"/>
      <w:bookmarkStart w:id="149" w:name="_Toc1826321909"/>
      <w:bookmarkStart w:id="150" w:name="_Toc1298204275"/>
      <w:bookmarkStart w:id="151" w:name="_Toc319902528"/>
      <w:bookmarkStart w:id="152" w:name="_Toc293395999"/>
      <w:r>
        <w:rPr>
          <w:rStyle w:val="23"/>
          <w:rFonts w:hint="eastAsia" w:ascii="仿宋" w:hAnsi="仿宋" w:eastAsia="仿宋" w:cs="仿宋"/>
          <w:color w:val="000000" w:themeColor="text1"/>
          <w:kern w:val="2"/>
          <w:sz w:val="32"/>
          <w:szCs w:val="36"/>
          <w:highlight w:val="none"/>
          <w:lang w:val="en-US" w:eastAsia="zh-CN" w:bidi="ar-SA"/>
          <w14:textFill>
            <w14:solidFill>
              <w14:schemeClr w14:val="tx1"/>
            </w14:solidFill>
          </w14:textFill>
        </w:rPr>
        <w:t>5.5响应升级</w:t>
      </w:r>
      <w:bookmarkEnd w:id="146"/>
      <w:bookmarkEnd w:id="147"/>
    </w:p>
    <w:bookmarkEnd w:id="148"/>
    <w:bookmarkEnd w:id="149"/>
    <w:bookmarkEnd w:id="150"/>
    <w:bookmarkEnd w:id="151"/>
    <w:bookmarkEnd w:id="152"/>
    <w:p>
      <w:pPr>
        <w:ind w:firstLine="600"/>
        <w:rPr>
          <w:rFonts w:hint="eastAsia" w:ascii="仿宋" w:hAnsi="仿宋" w:eastAsia="仿宋" w:cs="仿宋"/>
          <w:color w:val="000000" w:themeColor="text1"/>
          <w:sz w:val="32"/>
          <w:szCs w:val="24"/>
          <w:highlight w:val="none"/>
          <w14:textFill>
            <w14:solidFill>
              <w14:schemeClr w14:val="tx1"/>
            </w14:solidFill>
          </w14:textFill>
        </w:rPr>
      </w:pPr>
      <w:r>
        <w:rPr>
          <w:rFonts w:hint="eastAsia" w:ascii="仿宋" w:hAnsi="仿宋" w:eastAsia="仿宋" w:cs="仿宋"/>
          <w:color w:val="000000" w:themeColor="text1"/>
          <w:sz w:val="32"/>
          <w:szCs w:val="24"/>
          <w:highlight w:val="none"/>
          <w14:textFill>
            <w14:solidFill>
              <w14:schemeClr w14:val="tx1"/>
            </w14:solidFill>
          </w14:textFill>
        </w:rPr>
        <w:t>当危化品事故影响范围进一步扩大或者危化品事故已经波及到我市大部分地区，直接或间接造成巨大灾害时，由市应急指挥部向省应急指挥中心、国家有关方面请求支援。</w:t>
      </w:r>
    </w:p>
    <w:p>
      <w:pPr>
        <w:ind w:left="0" w:leftChars="0" w:firstLine="642" w:firstLineChars="200"/>
        <w:rPr>
          <w:rStyle w:val="23"/>
          <w:rFonts w:hint="eastAsia" w:ascii="仿宋" w:hAnsi="仿宋" w:eastAsia="仿宋" w:cs="仿宋"/>
          <w:color w:val="000000" w:themeColor="text1"/>
          <w:sz w:val="32"/>
          <w:szCs w:val="36"/>
          <w:highlight w:val="none"/>
          <w14:textFill>
            <w14:solidFill>
              <w14:schemeClr w14:val="tx1"/>
            </w14:solidFill>
          </w14:textFill>
        </w:rPr>
      </w:pPr>
      <w:bookmarkStart w:id="153" w:name="_Toc1928995910"/>
      <w:bookmarkStart w:id="154" w:name="_Toc176222702"/>
      <w:bookmarkStart w:id="155" w:name="_Toc1472184199"/>
      <w:bookmarkStart w:id="156" w:name="_Toc1424423594"/>
      <w:bookmarkStart w:id="157" w:name="_Toc2086609988"/>
      <w:bookmarkStart w:id="158" w:name="_Toc828109321"/>
      <w:bookmarkStart w:id="159" w:name="_Toc18818267"/>
      <w:r>
        <w:rPr>
          <w:rStyle w:val="23"/>
          <w:rFonts w:hint="eastAsia" w:ascii="仿宋" w:hAnsi="仿宋" w:eastAsia="仿宋" w:cs="仿宋"/>
          <w:color w:val="000000" w:themeColor="text1"/>
          <w:sz w:val="32"/>
          <w:szCs w:val="36"/>
          <w:highlight w:val="none"/>
          <w:lang w:eastAsia="zh-CN"/>
          <w14:textFill>
            <w14:solidFill>
              <w14:schemeClr w14:val="tx1"/>
            </w14:solidFill>
          </w14:textFill>
        </w:rPr>
        <w:t>5</w:t>
      </w:r>
      <w:r>
        <w:rPr>
          <w:rStyle w:val="23"/>
          <w:rFonts w:hint="eastAsia" w:ascii="仿宋" w:hAnsi="仿宋" w:eastAsia="仿宋" w:cs="仿宋"/>
          <w:color w:val="000000" w:themeColor="text1"/>
          <w:sz w:val="32"/>
          <w:szCs w:val="36"/>
          <w:highlight w:val="none"/>
          <w:lang w:val="en-US" w:eastAsia="zh-CN"/>
          <w14:textFill>
            <w14:solidFill>
              <w14:schemeClr w14:val="tx1"/>
            </w14:solidFill>
          </w14:textFill>
        </w:rPr>
        <w:t>.6</w:t>
      </w:r>
      <w:r>
        <w:rPr>
          <w:rStyle w:val="23"/>
          <w:rFonts w:hint="eastAsia" w:ascii="仿宋" w:hAnsi="仿宋" w:eastAsia="仿宋" w:cs="仿宋"/>
          <w:color w:val="000000" w:themeColor="text1"/>
          <w:sz w:val="32"/>
          <w:szCs w:val="36"/>
          <w:highlight w:val="none"/>
          <w14:textFill>
            <w14:solidFill>
              <w14:schemeClr w14:val="tx1"/>
            </w14:solidFill>
          </w14:textFill>
        </w:rPr>
        <w:t xml:space="preserve"> 应急人员安全防护</w:t>
      </w:r>
    </w:p>
    <w:bookmarkEnd w:id="153"/>
    <w:bookmarkEnd w:id="154"/>
    <w:bookmarkEnd w:id="155"/>
    <w:bookmarkEnd w:id="156"/>
    <w:bookmarkEnd w:id="157"/>
    <w:p>
      <w:pPr>
        <w:ind w:left="0" w:leftChars="0" w:firstLine="600" w:firstLineChars="0"/>
        <w:rPr>
          <w:rFonts w:hint="eastAsia" w:ascii="仿宋" w:hAnsi="仿宋" w:eastAsia="仿宋" w:cs="仿宋"/>
          <w:color w:val="000000" w:themeColor="text1"/>
          <w:sz w:val="32"/>
          <w:szCs w:val="24"/>
          <w:highlight w:val="none"/>
          <w14:textFill>
            <w14:solidFill>
              <w14:schemeClr w14:val="tx1"/>
            </w14:solidFill>
          </w14:textFill>
        </w:rPr>
      </w:pPr>
      <w:r>
        <w:rPr>
          <w:rFonts w:hint="eastAsia" w:ascii="仿宋" w:hAnsi="仿宋" w:eastAsia="仿宋" w:cs="仿宋"/>
          <w:color w:val="000000" w:themeColor="text1"/>
          <w:sz w:val="32"/>
          <w:szCs w:val="24"/>
          <w:highlight w:val="none"/>
          <w14:textFill>
            <w14:solidFill>
              <w14:schemeClr w14:val="tx1"/>
            </w14:solidFill>
          </w14:textFill>
        </w:rPr>
        <w:t>根据危险化学品事故的特点及其引发物质的不同，结合应急人员的职责，应采取不同的防护措施。应急救援指挥人员、医务人员和其他不进入污染区域的应急人员一般配备过滤式防毒面罩、防护服、防毒手套、防毒靴等；工程抢险、消防救援和侦检等进入污染区域的应急人员应配备密闭型防毒面罩、防酸碱型防护服和空气呼吸器等；同时，做好现场（包括人员、设备、设施和场所等）的毒物洗消工作。</w:t>
      </w:r>
    </w:p>
    <w:p>
      <w:pPr>
        <w:ind w:left="0" w:leftChars="0" w:firstLine="642" w:firstLineChars="200"/>
        <w:rPr>
          <w:rStyle w:val="23"/>
          <w:rFonts w:hint="eastAsia" w:ascii="仿宋" w:hAnsi="仿宋" w:eastAsia="仿宋" w:cs="仿宋"/>
          <w:color w:val="000000" w:themeColor="text1"/>
          <w:sz w:val="32"/>
          <w:szCs w:val="36"/>
          <w:highlight w:val="none"/>
          <w14:textFill>
            <w14:solidFill>
              <w14:schemeClr w14:val="tx1"/>
            </w14:solidFill>
          </w14:textFill>
        </w:rPr>
      </w:pPr>
      <w:bookmarkStart w:id="160" w:name="_Toc656292959"/>
      <w:bookmarkStart w:id="161" w:name="_Toc1924970186"/>
      <w:bookmarkStart w:id="162" w:name="_Toc786499669"/>
      <w:bookmarkStart w:id="163" w:name="_Toc1602412931"/>
      <w:bookmarkStart w:id="164" w:name="_Toc1827381512"/>
      <w:r>
        <w:rPr>
          <w:rStyle w:val="23"/>
          <w:rFonts w:hint="eastAsia" w:ascii="仿宋" w:hAnsi="仿宋" w:eastAsia="仿宋" w:cs="仿宋"/>
          <w:color w:val="000000" w:themeColor="text1"/>
          <w:sz w:val="32"/>
          <w:szCs w:val="36"/>
          <w:highlight w:val="none"/>
          <w:lang w:eastAsia="zh-CN"/>
          <w14:textFill>
            <w14:solidFill>
              <w14:schemeClr w14:val="tx1"/>
            </w14:solidFill>
          </w14:textFill>
        </w:rPr>
        <w:t>5</w:t>
      </w:r>
      <w:r>
        <w:rPr>
          <w:rStyle w:val="23"/>
          <w:rFonts w:hint="eastAsia" w:ascii="仿宋" w:hAnsi="仿宋" w:eastAsia="仿宋" w:cs="仿宋"/>
          <w:color w:val="000000" w:themeColor="text1"/>
          <w:sz w:val="32"/>
          <w:szCs w:val="36"/>
          <w:highlight w:val="none"/>
          <w:lang w:val="en-US" w:eastAsia="zh-CN"/>
          <w14:textFill>
            <w14:solidFill>
              <w14:schemeClr w14:val="tx1"/>
            </w14:solidFill>
          </w14:textFill>
        </w:rPr>
        <w:t>.7</w:t>
      </w:r>
      <w:r>
        <w:rPr>
          <w:rStyle w:val="23"/>
          <w:rFonts w:hint="eastAsia" w:ascii="仿宋" w:hAnsi="仿宋" w:eastAsia="仿宋" w:cs="仿宋"/>
          <w:color w:val="000000" w:themeColor="text1"/>
          <w:sz w:val="32"/>
          <w:szCs w:val="36"/>
          <w:highlight w:val="none"/>
          <w14:textFill>
            <w14:solidFill>
              <w14:schemeClr w14:val="tx1"/>
            </w14:solidFill>
          </w14:textFill>
        </w:rPr>
        <w:t xml:space="preserve"> 群众安全防护</w:t>
      </w:r>
    </w:p>
    <w:bookmarkEnd w:id="160"/>
    <w:bookmarkEnd w:id="161"/>
    <w:bookmarkEnd w:id="162"/>
    <w:bookmarkEnd w:id="163"/>
    <w:bookmarkEnd w:id="164"/>
    <w:p>
      <w:pPr>
        <w:ind w:left="0" w:leftChars="0" w:firstLine="640" w:firstLineChars="200"/>
        <w:rPr>
          <w:rStyle w:val="23"/>
          <w:rFonts w:hint="eastAsia" w:ascii="仿宋" w:hAnsi="仿宋" w:eastAsia="仿宋" w:cs="仿宋"/>
          <w:color w:val="000000" w:themeColor="text1"/>
          <w:sz w:val="32"/>
          <w:szCs w:val="36"/>
          <w:highlight w:val="none"/>
          <w14:textFill>
            <w14:solidFill>
              <w14:schemeClr w14:val="tx1"/>
            </w14:solidFill>
          </w14:textFill>
        </w:rPr>
      </w:pPr>
      <w:r>
        <w:rPr>
          <w:rFonts w:hint="eastAsia" w:ascii="仿宋" w:hAnsi="仿宋" w:eastAsia="仿宋" w:cs="仿宋"/>
          <w:color w:val="000000" w:themeColor="text1"/>
          <w:sz w:val="32"/>
          <w:szCs w:val="24"/>
          <w:highlight w:val="none"/>
          <w14:textFill>
            <w14:solidFill>
              <w14:schemeClr w14:val="tx1"/>
            </w14:solidFill>
          </w14:textFill>
        </w:rPr>
        <w:t>根据不同危险化学品事故特点，组织和指导群众就地取材（如毛巾、湿布、口罩等），采用简易有效的防护措施保护自己。根据实际情况，制定切实可行的疏散方案（包括指挥机构、疏散组织、疏散范围、疏散方式、疏散路线、疏散人员安置等）。组织群众撤离危险区域时，应选择安全的撤离路线，避免横穿危险区域。进入安全区域后，应尽快去除受污染的衣物，防止继发性伤害</w:t>
      </w:r>
      <w:r>
        <w:rPr>
          <w:rStyle w:val="23"/>
          <w:rFonts w:hint="eastAsia" w:ascii="仿宋" w:hAnsi="仿宋" w:eastAsia="仿宋" w:cs="仿宋"/>
          <w:color w:val="000000" w:themeColor="text1"/>
          <w:sz w:val="32"/>
          <w:szCs w:val="36"/>
          <w:highlight w:val="none"/>
          <w14:textFill>
            <w14:solidFill>
              <w14:schemeClr w14:val="tx1"/>
            </w14:solidFill>
          </w14:textFill>
        </w:rPr>
        <w:t>。</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165" w:name="_Toc21621424"/>
      <w:bookmarkStart w:id="166" w:name="_Toc1475042528"/>
      <w:bookmarkStart w:id="167" w:name="_Toc585084829"/>
      <w:bookmarkStart w:id="168" w:name="_Toc163734863"/>
      <w:bookmarkStart w:id="169" w:name="_Toc1869556721"/>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5.8事故环境监测与后果评估</w:t>
      </w:r>
      <w:bookmarkEnd w:id="158"/>
      <w:bookmarkEnd w:id="159"/>
    </w:p>
    <w:bookmarkEnd w:id="165"/>
    <w:bookmarkEnd w:id="166"/>
    <w:bookmarkEnd w:id="167"/>
    <w:bookmarkEnd w:id="168"/>
    <w:bookmarkEnd w:id="169"/>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事故发生地和相关的环境监测、监测机构，负责对水源、空气、土壤等样品就地实施分析处理，及时检测毒物的种类和浓度，并计算扩散范围等应急救援所需的各类数据，以确定污染区域范围，并对事故造成的环境影响进行评估。</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170" w:name="_Toc18818268"/>
      <w:bookmarkStart w:id="171" w:name="_Toc1846078213"/>
      <w:bookmarkStart w:id="172" w:name="_Toc709999352"/>
      <w:bookmarkStart w:id="173" w:name="_Toc1457235457"/>
      <w:bookmarkStart w:id="174" w:name="_Toc1113003860"/>
      <w:bookmarkStart w:id="175" w:name="_Toc1304406823"/>
      <w:bookmarkStart w:id="176" w:name="_Toc524432163"/>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5.9信息发布</w:t>
      </w:r>
      <w:bookmarkEnd w:id="170"/>
      <w:bookmarkEnd w:id="171"/>
    </w:p>
    <w:bookmarkEnd w:id="172"/>
    <w:bookmarkEnd w:id="173"/>
    <w:bookmarkEnd w:id="174"/>
    <w:bookmarkEnd w:id="175"/>
    <w:bookmarkEnd w:id="176"/>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一般危险化学品事故应急处置信息的发布，由事发地的区县（市）政府负责。发生较大以上危险化学品事故，在</w:t>
      </w:r>
      <w:r>
        <w:rPr>
          <w:rFonts w:hint="eastAsia" w:ascii="仿宋" w:hAnsi="仿宋" w:eastAsia="仿宋" w:cs="仿宋"/>
          <w:color w:val="000000" w:themeColor="text1"/>
          <w:sz w:val="32"/>
          <w:szCs w:val="24"/>
          <w:lang w:eastAsia="zh-CN"/>
          <w14:textFill>
            <w14:solidFill>
              <w14:schemeClr w14:val="tx1"/>
            </w14:solidFill>
          </w14:textFill>
        </w:rPr>
        <w:t>市应急指挥部</w:t>
      </w:r>
      <w:r>
        <w:rPr>
          <w:rFonts w:hint="eastAsia" w:ascii="仿宋" w:hAnsi="仿宋" w:eastAsia="仿宋" w:cs="仿宋"/>
          <w:color w:val="000000" w:themeColor="text1"/>
          <w:sz w:val="32"/>
          <w:szCs w:val="24"/>
          <w14:textFill>
            <w14:solidFill>
              <w14:schemeClr w14:val="tx1"/>
            </w14:solidFill>
          </w14:textFill>
        </w:rPr>
        <w:t>的指导下，由市委宣传部负责组织协调信息发布工作。</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177" w:name="_Toc18818269"/>
      <w:bookmarkStart w:id="178" w:name="_Toc1232182339"/>
      <w:bookmarkStart w:id="179" w:name="_Toc50941336"/>
      <w:bookmarkStart w:id="180" w:name="_Toc26532038"/>
      <w:bookmarkStart w:id="181" w:name="_Toc1157087675"/>
      <w:bookmarkStart w:id="182" w:name="_Toc1033771717"/>
      <w:bookmarkStart w:id="183" w:name="_Toc1943254729"/>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5.10应急结束</w:t>
      </w:r>
      <w:bookmarkEnd w:id="177"/>
      <w:bookmarkEnd w:id="178"/>
    </w:p>
    <w:bookmarkEnd w:id="179"/>
    <w:bookmarkEnd w:id="180"/>
    <w:bookmarkEnd w:id="181"/>
    <w:bookmarkEnd w:id="182"/>
    <w:bookmarkEnd w:id="183"/>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I级、II级应急响应（特别重大和重大危化品事故）：报请省应急救援指挥部按程序批准并宣布应急结束。</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III 级应急响应（较大危化品事故）：由市应急指挥部办公室对事故控制情况进行评估，提出终止应急措施的建议，报市应急指挥部批准后宣布应急结束。</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IV级应急响应（一般危化品事故）：由事发地</w:t>
      </w:r>
      <w:r>
        <w:rPr>
          <w:rFonts w:hint="eastAsia" w:ascii="仿宋" w:hAnsi="仿宋" w:eastAsia="仿宋" w:cs="仿宋"/>
          <w:color w:val="000000" w:themeColor="text1"/>
          <w:sz w:val="32"/>
          <w:szCs w:val="24"/>
          <w:lang w:eastAsia="zh-CN"/>
          <w14:textFill>
            <w14:solidFill>
              <w14:schemeClr w14:val="tx1"/>
            </w14:solidFill>
          </w14:textFill>
        </w:rPr>
        <w:t>县级应急指挥部</w:t>
      </w:r>
      <w:r>
        <w:rPr>
          <w:rFonts w:hint="eastAsia" w:ascii="仿宋" w:hAnsi="仿宋" w:eastAsia="仿宋" w:cs="仿宋"/>
          <w:color w:val="000000" w:themeColor="text1"/>
          <w:sz w:val="32"/>
          <w:szCs w:val="24"/>
          <w14:textFill>
            <w14:solidFill>
              <w14:schemeClr w14:val="tx1"/>
            </w14:solidFill>
          </w14:textFill>
        </w:rPr>
        <w:t>宣布应急结束。</w:t>
      </w:r>
    </w:p>
    <w:p>
      <w:pPr>
        <w:pStyle w:val="3"/>
        <w:ind w:firstLine="482"/>
        <w:rPr>
          <w:rFonts w:hint="eastAsia" w:ascii="仿宋" w:hAnsi="仿宋" w:eastAsia="仿宋" w:cs="仿宋"/>
          <w:color w:val="000000" w:themeColor="text1"/>
          <w:sz w:val="36"/>
          <w:szCs w:val="48"/>
          <w14:textFill>
            <w14:solidFill>
              <w14:schemeClr w14:val="tx1"/>
            </w14:solidFill>
          </w14:textFill>
        </w:rPr>
      </w:pPr>
      <w:bookmarkStart w:id="184" w:name="_Toc18818270"/>
      <w:bookmarkStart w:id="185" w:name="_Toc1800961293"/>
      <w:bookmarkStart w:id="186" w:name="_Toc220076211"/>
      <w:bookmarkStart w:id="187" w:name="_Toc929204511"/>
      <w:bookmarkStart w:id="188" w:name="_Toc1349142425"/>
      <w:bookmarkStart w:id="189" w:name="_Toc205522049"/>
      <w:bookmarkStart w:id="190" w:name="_Toc658921581"/>
      <w:r>
        <w:rPr>
          <w:rFonts w:hint="eastAsia" w:ascii="仿宋" w:hAnsi="仿宋" w:eastAsia="仿宋" w:cs="仿宋"/>
          <w:color w:val="000000" w:themeColor="text1"/>
          <w:sz w:val="36"/>
          <w:szCs w:val="48"/>
          <w14:textFill>
            <w14:solidFill>
              <w14:schemeClr w14:val="tx1"/>
            </w14:solidFill>
          </w14:textFill>
        </w:rPr>
        <w:t>6</w:t>
      </w:r>
      <w:r>
        <w:rPr>
          <w:rStyle w:val="24"/>
          <w:rFonts w:hint="eastAsia" w:ascii="仿宋" w:hAnsi="仿宋" w:eastAsia="仿宋" w:cs="仿宋"/>
          <w:b/>
          <w:bCs/>
          <w:color w:val="000000" w:themeColor="text1"/>
          <w:sz w:val="36"/>
          <w:szCs w:val="48"/>
          <w14:textFill>
            <w14:solidFill>
              <w14:schemeClr w14:val="tx1"/>
            </w14:solidFill>
          </w14:textFill>
        </w:rPr>
        <w:t xml:space="preserve"> </w:t>
      </w:r>
      <w:r>
        <w:rPr>
          <w:rFonts w:hint="eastAsia" w:ascii="仿宋" w:hAnsi="仿宋" w:eastAsia="仿宋" w:cs="仿宋"/>
          <w:color w:val="000000" w:themeColor="text1"/>
          <w:sz w:val="36"/>
          <w:szCs w:val="48"/>
          <w14:textFill>
            <w14:solidFill>
              <w14:schemeClr w14:val="tx1"/>
            </w14:solidFill>
          </w14:textFill>
        </w:rPr>
        <w:t>后期处置</w:t>
      </w:r>
      <w:bookmarkEnd w:id="184"/>
      <w:bookmarkEnd w:id="185"/>
      <w:bookmarkEnd w:id="186"/>
      <w:bookmarkEnd w:id="187"/>
      <w:bookmarkEnd w:id="188"/>
      <w:bookmarkEnd w:id="189"/>
      <w:bookmarkEnd w:id="190"/>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191" w:name="_Toc472925412"/>
      <w:bookmarkStart w:id="192" w:name="_Toc18818271"/>
      <w:bookmarkStart w:id="193" w:name="_Toc1831871653"/>
      <w:bookmarkStart w:id="194" w:name="_Toc579070663"/>
      <w:bookmarkStart w:id="195" w:name="_Toc1589524184"/>
      <w:bookmarkStart w:id="196" w:name="_Toc1061931121"/>
      <w:bookmarkStart w:id="197" w:name="_Toc1404061638"/>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6.1善后处理</w:t>
      </w:r>
      <w:bookmarkEnd w:id="191"/>
      <w:bookmarkEnd w:id="192"/>
    </w:p>
    <w:bookmarkEnd w:id="193"/>
    <w:bookmarkEnd w:id="194"/>
    <w:bookmarkEnd w:id="195"/>
    <w:bookmarkEnd w:id="196"/>
    <w:bookmarkEnd w:id="197"/>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善后处理工作由事故发生地政府负责。因救援工作临时征用的房屋、运输工具、通信设备等应当及时归还，造成损坏或者无法归还的，按照国家有关规定给予适当补偿或者作出其他处理。事故发生地政府应协调事故发生单位妥善处理事故伤亡人员及其家属的救济、补助和赔偿等工作。依据事故调查报告提出的整改意见，指导事故发生单位做好恢复生产等相关工作。</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198" w:name="_Toc250595900"/>
      <w:bookmarkStart w:id="199" w:name="_Toc18818272"/>
      <w:bookmarkStart w:id="200" w:name="_Toc172206072"/>
      <w:bookmarkStart w:id="201" w:name="_Toc874612428"/>
      <w:bookmarkStart w:id="202" w:name="_Toc1432871899"/>
      <w:bookmarkStart w:id="203" w:name="_Toc245522699"/>
      <w:bookmarkStart w:id="204" w:name="_Toc1691410544"/>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6.2调查评估</w:t>
      </w:r>
      <w:bookmarkEnd w:id="198"/>
      <w:bookmarkEnd w:id="199"/>
    </w:p>
    <w:bookmarkEnd w:id="200"/>
    <w:bookmarkEnd w:id="201"/>
    <w:bookmarkEnd w:id="202"/>
    <w:bookmarkEnd w:id="203"/>
    <w:bookmarkEnd w:id="204"/>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发生重大、特别重大危险化学品事故，分别由省政府、国务院组织事故调查。</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发生较大危险化学品事故，由市政府或政府授权的有关部门</w:t>
      </w:r>
      <w:r>
        <w:rPr>
          <w:rFonts w:hint="eastAsia" w:ascii="仿宋" w:hAnsi="仿宋" w:eastAsia="仿宋" w:cs="仿宋"/>
          <w:color w:val="000000" w:themeColor="text1"/>
          <w:sz w:val="32"/>
          <w:szCs w:val="24"/>
          <w:lang w:eastAsia="zh-CN"/>
          <w14:textFill>
            <w14:solidFill>
              <w14:schemeClr w14:val="tx1"/>
            </w14:solidFill>
          </w14:textFill>
        </w:rPr>
        <w:t>组织事故</w:t>
      </w:r>
      <w:r>
        <w:rPr>
          <w:rFonts w:hint="eastAsia" w:ascii="仿宋" w:hAnsi="仿宋" w:eastAsia="仿宋" w:cs="仿宋"/>
          <w:color w:val="000000" w:themeColor="text1"/>
          <w:sz w:val="32"/>
          <w:szCs w:val="24"/>
          <w14:textFill>
            <w14:solidFill>
              <w14:schemeClr w14:val="tx1"/>
            </w14:solidFill>
          </w14:textFill>
        </w:rPr>
        <w:t>调查。</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发生一般危险化学品事故，由事发地的区、县（市）政府或政府授权的有关部门</w:t>
      </w:r>
      <w:r>
        <w:rPr>
          <w:rFonts w:hint="eastAsia" w:ascii="仿宋" w:hAnsi="仿宋" w:eastAsia="仿宋" w:cs="仿宋"/>
          <w:color w:val="000000" w:themeColor="text1"/>
          <w:sz w:val="32"/>
          <w:szCs w:val="24"/>
          <w:lang w:eastAsia="zh-CN"/>
          <w14:textFill>
            <w14:solidFill>
              <w14:schemeClr w14:val="tx1"/>
            </w14:solidFill>
          </w14:textFill>
        </w:rPr>
        <w:t>组织事故</w:t>
      </w:r>
      <w:r>
        <w:rPr>
          <w:rFonts w:hint="eastAsia" w:ascii="仿宋" w:hAnsi="仿宋" w:eastAsia="仿宋" w:cs="仿宋"/>
          <w:color w:val="000000" w:themeColor="text1"/>
          <w:sz w:val="32"/>
          <w:szCs w:val="24"/>
          <w14:textFill>
            <w14:solidFill>
              <w14:schemeClr w14:val="tx1"/>
            </w14:solidFill>
          </w14:textFill>
        </w:rPr>
        <w:t>调查。</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事故调查组应当对危险化学品事故起因、性质、影响、后果、责任和应急决策能力、现场处置能力、保障能力、恢复重建能力等进行调查评估。</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205" w:name="_Toc18818273"/>
      <w:bookmarkStart w:id="206" w:name="_Toc1834990407"/>
      <w:bookmarkStart w:id="207" w:name="_Toc905236374"/>
      <w:bookmarkStart w:id="208" w:name="_Toc555117441"/>
      <w:bookmarkStart w:id="209" w:name="_Toc1512200336"/>
      <w:bookmarkStart w:id="210" w:name="_Toc1300036092"/>
      <w:bookmarkStart w:id="211" w:name="_Toc26277285"/>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6.3责任追究</w:t>
      </w:r>
      <w:bookmarkEnd w:id="205"/>
      <w:bookmarkEnd w:id="206"/>
    </w:p>
    <w:bookmarkEnd w:id="207"/>
    <w:bookmarkEnd w:id="208"/>
    <w:bookmarkEnd w:id="209"/>
    <w:bookmarkEnd w:id="210"/>
    <w:bookmarkEnd w:id="211"/>
    <w:p>
      <w:pPr>
        <w:ind w:firstLine="211" w:firstLineChars="66"/>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 xml:space="preserve">   对在危险化学品事故应急工作中，有玩忽职守、失职、渎职等行为，或者迟报、瞒报、漏报、谎报重要情况的有关责任人，依照有关法律、法规给予处罚、处分、情节严重者移交司法机关追究相关责任。</w:t>
      </w:r>
    </w:p>
    <w:p>
      <w:pPr>
        <w:pStyle w:val="3"/>
        <w:ind w:firstLine="482"/>
        <w:rPr>
          <w:rFonts w:hint="eastAsia" w:ascii="仿宋" w:hAnsi="仿宋" w:eastAsia="仿宋" w:cs="仿宋"/>
          <w:color w:val="000000" w:themeColor="text1"/>
          <w:sz w:val="36"/>
          <w:szCs w:val="48"/>
          <w14:textFill>
            <w14:solidFill>
              <w14:schemeClr w14:val="tx1"/>
            </w14:solidFill>
          </w14:textFill>
        </w:rPr>
      </w:pPr>
      <w:bookmarkStart w:id="212" w:name="_Toc1949259378"/>
      <w:bookmarkStart w:id="213" w:name="_Toc144338122"/>
      <w:bookmarkStart w:id="214" w:name="_Toc162739504"/>
      <w:bookmarkStart w:id="215" w:name="_Toc509737130"/>
      <w:bookmarkStart w:id="216" w:name="_Toc2145604907"/>
      <w:bookmarkStart w:id="217" w:name="_Toc96078803"/>
      <w:bookmarkStart w:id="218" w:name="_Toc18818274"/>
      <w:r>
        <w:rPr>
          <w:rFonts w:hint="eastAsia" w:ascii="仿宋" w:hAnsi="仿宋" w:eastAsia="仿宋" w:cs="仿宋"/>
          <w:color w:val="000000" w:themeColor="text1"/>
          <w:sz w:val="36"/>
          <w:szCs w:val="48"/>
          <w14:textFill>
            <w14:solidFill>
              <w14:schemeClr w14:val="tx1"/>
            </w14:solidFill>
          </w14:textFill>
        </w:rPr>
        <w:t>7</w:t>
      </w:r>
      <w:r>
        <w:rPr>
          <w:rStyle w:val="24"/>
          <w:rFonts w:hint="eastAsia" w:ascii="仿宋" w:hAnsi="仿宋" w:eastAsia="仿宋" w:cs="仿宋"/>
          <w:b/>
          <w:bCs/>
          <w:color w:val="000000" w:themeColor="text1"/>
          <w:sz w:val="36"/>
          <w:szCs w:val="48"/>
          <w14:textFill>
            <w14:solidFill>
              <w14:schemeClr w14:val="tx1"/>
            </w14:solidFill>
          </w14:textFill>
        </w:rPr>
        <w:t xml:space="preserve">  </w:t>
      </w:r>
      <w:r>
        <w:rPr>
          <w:rFonts w:hint="eastAsia" w:ascii="仿宋" w:hAnsi="仿宋" w:eastAsia="仿宋" w:cs="仿宋"/>
          <w:color w:val="000000" w:themeColor="text1"/>
          <w:sz w:val="36"/>
          <w:szCs w:val="48"/>
          <w14:textFill>
            <w14:solidFill>
              <w14:schemeClr w14:val="tx1"/>
            </w14:solidFill>
          </w14:textFill>
        </w:rPr>
        <w:t>应急保障</w:t>
      </w:r>
      <w:bookmarkEnd w:id="212"/>
      <w:bookmarkEnd w:id="213"/>
      <w:bookmarkEnd w:id="214"/>
      <w:bookmarkEnd w:id="215"/>
      <w:bookmarkEnd w:id="216"/>
      <w:bookmarkEnd w:id="217"/>
      <w:bookmarkEnd w:id="218"/>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219" w:name="_Toc18818275"/>
      <w:bookmarkStart w:id="220" w:name="_Toc1247819801"/>
      <w:bookmarkStart w:id="221" w:name="_Toc2037494131"/>
      <w:bookmarkStart w:id="222" w:name="_Toc930620524"/>
      <w:bookmarkStart w:id="223" w:name="_Toc1427392191"/>
      <w:bookmarkStart w:id="224" w:name="_Toc947310462"/>
      <w:bookmarkStart w:id="225" w:name="_Toc1914589678"/>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7.1队伍保障</w:t>
      </w:r>
      <w:bookmarkEnd w:id="219"/>
      <w:bookmarkEnd w:id="220"/>
    </w:p>
    <w:bookmarkEnd w:id="221"/>
    <w:bookmarkEnd w:id="222"/>
    <w:bookmarkEnd w:id="223"/>
    <w:bookmarkEnd w:id="224"/>
    <w:bookmarkEnd w:id="225"/>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 xml:space="preserve"> 危险化学品应急救援队伍包括</w:t>
      </w:r>
      <w:r>
        <w:rPr>
          <w:rFonts w:hint="eastAsia" w:ascii="仿宋" w:hAnsi="仿宋" w:eastAsia="仿宋" w:cs="仿宋"/>
          <w:color w:val="000000" w:themeColor="text1"/>
          <w:sz w:val="32"/>
          <w:szCs w:val="24"/>
          <w:lang w:eastAsia="zh-CN"/>
          <w14:textFill>
            <w14:solidFill>
              <w14:schemeClr w14:val="tx1"/>
            </w14:solidFill>
          </w14:textFill>
        </w:rPr>
        <w:t>：</w:t>
      </w:r>
      <w:r>
        <w:rPr>
          <w:rFonts w:hint="eastAsia" w:ascii="仿宋" w:hAnsi="仿宋" w:eastAsia="仿宋" w:cs="仿宋"/>
          <w:color w:val="000000" w:themeColor="text1"/>
          <w:sz w:val="32"/>
          <w:szCs w:val="24"/>
          <w14:textFill>
            <w14:solidFill>
              <w14:schemeClr w14:val="tx1"/>
            </w14:solidFill>
          </w14:textFill>
        </w:rPr>
        <w:t>依托专业救援消防队伍组建的综合应急救援队伍</w:t>
      </w:r>
      <w:r>
        <w:rPr>
          <w:rFonts w:hint="eastAsia" w:ascii="仿宋" w:hAnsi="仿宋" w:eastAsia="仿宋" w:cs="仿宋"/>
          <w:color w:val="000000" w:themeColor="text1"/>
          <w:sz w:val="32"/>
          <w:szCs w:val="24"/>
          <w:lang w:eastAsia="zh-CN"/>
          <w14:textFill>
            <w14:solidFill>
              <w14:schemeClr w14:val="tx1"/>
            </w14:solidFill>
          </w14:textFill>
        </w:rPr>
        <w:t>、</w:t>
      </w:r>
      <w:r>
        <w:rPr>
          <w:rFonts w:hint="eastAsia" w:ascii="仿宋" w:hAnsi="仿宋" w:eastAsia="仿宋" w:cs="仿宋"/>
          <w:color w:val="000000" w:themeColor="text1"/>
          <w:sz w:val="32"/>
          <w:szCs w:val="24"/>
          <w14:textFill>
            <w14:solidFill>
              <w14:schemeClr w14:val="tx1"/>
            </w14:solidFill>
          </w14:textFill>
        </w:rPr>
        <w:t>有关事故牵头处置部门负责的本行业领域的危险化学品事故专业应急救援队伍</w:t>
      </w:r>
      <w:r>
        <w:rPr>
          <w:rFonts w:hint="eastAsia" w:ascii="仿宋" w:hAnsi="仿宋" w:eastAsia="仿宋" w:cs="仿宋"/>
          <w:color w:val="000000" w:themeColor="text1"/>
          <w:sz w:val="32"/>
          <w:szCs w:val="24"/>
          <w:lang w:eastAsia="zh-CN"/>
          <w14:textFill>
            <w14:solidFill>
              <w14:schemeClr w14:val="tx1"/>
            </w14:solidFill>
          </w14:textFill>
        </w:rPr>
        <w:t>、</w:t>
      </w:r>
      <w:r>
        <w:rPr>
          <w:rFonts w:hint="eastAsia" w:ascii="仿宋" w:hAnsi="仿宋" w:eastAsia="仿宋" w:cs="仿宋"/>
          <w:color w:val="000000" w:themeColor="text1"/>
          <w:sz w:val="32"/>
          <w:szCs w:val="24"/>
          <w14:textFill>
            <w14:solidFill>
              <w14:schemeClr w14:val="tx1"/>
            </w14:solidFill>
          </w14:textFill>
        </w:rPr>
        <w:t>危化品</w:t>
      </w:r>
      <w:r>
        <w:rPr>
          <w:rFonts w:hint="eastAsia" w:ascii="仿宋" w:hAnsi="仿宋" w:eastAsia="仿宋" w:cs="仿宋"/>
          <w:color w:val="000000" w:themeColor="text1"/>
          <w:sz w:val="32"/>
          <w:szCs w:val="24"/>
          <w:lang w:eastAsia="zh-CN"/>
          <w14:textFill>
            <w14:solidFill>
              <w14:schemeClr w14:val="tx1"/>
            </w14:solidFill>
          </w14:textFill>
        </w:rPr>
        <w:t>相关</w:t>
      </w:r>
      <w:r>
        <w:rPr>
          <w:rFonts w:hint="eastAsia" w:ascii="仿宋" w:hAnsi="仿宋" w:eastAsia="仿宋" w:cs="仿宋"/>
          <w:color w:val="000000" w:themeColor="text1"/>
          <w:sz w:val="32"/>
          <w:szCs w:val="24"/>
          <w14:textFill>
            <w14:solidFill>
              <w14:schemeClr w14:val="tx1"/>
            </w14:solidFill>
          </w14:textFill>
        </w:rPr>
        <w:t>单位组建的应急救援</w:t>
      </w:r>
      <w:r>
        <w:rPr>
          <w:rFonts w:hint="eastAsia" w:ascii="仿宋" w:hAnsi="仿宋" w:eastAsia="仿宋" w:cs="仿宋"/>
          <w:color w:val="000000" w:themeColor="text1"/>
          <w:sz w:val="32"/>
          <w:szCs w:val="24"/>
          <w:lang w:eastAsia="zh-CN"/>
          <w14:textFill>
            <w14:solidFill>
              <w14:schemeClr w14:val="tx1"/>
            </w14:solidFill>
          </w14:textFill>
        </w:rPr>
        <w:t>队伍</w:t>
      </w:r>
      <w:r>
        <w:rPr>
          <w:rFonts w:hint="eastAsia" w:ascii="仿宋" w:hAnsi="仿宋" w:eastAsia="仿宋" w:cs="仿宋"/>
          <w:color w:val="000000" w:themeColor="text1"/>
          <w:sz w:val="32"/>
          <w:szCs w:val="24"/>
          <w14:textFill>
            <w14:solidFill>
              <w14:schemeClr w14:val="tx1"/>
            </w14:solidFill>
          </w14:textFill>
        </w:rPr>
        <w:t>。</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根据事故现场情况需要</w:t>
      </w:r>
      <w:r>
        <w:rPr>
          <w:rFonts w:hint="eastAsia" w:ascii="仿宋" w:hAnsi="仿宋" w:eastAsia="仿宋" w:cs="仿宋"/>
          <w:color w:val="000000" w:themeColor="text1"/>
          <w:sz w:val="32"/>
          <w:szCs w:val="24"/>
          <w:lang w:eastAsia="zh-CN"/>
          <w14:textFill>
            <w14:solidFill>
              <w14:schemeClr w14:val="tx1"/>
            </w14:solidFill>
          </w14:textFill>
        </w:rPr>
        <w:t>其他应急</w:t>
      </w:r>
      <w:r>
        <w:rPr>
          <w:rFonts w:hint="eastAsia" w:ascii="仿宋" w:hAnsi="仿宋" w:eastAsia="仿宋" w:cs="仿宋"/>
          <w:color w:val="000000" w:themeColor="text1"/>
          <w:sz w:val="32"/>
          <w:szCs w:val="24"/>
          <w14:textFill>
            <w14:solidFill>
              <w14:schemeClr w14:val="tx1"/>
            </w14:solidFill>
          </w14:textFill>
        </w:rPr>
        <w:t>力量支援时，由市应急指挥部协调实施。</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226" w:name="_Toc1475103948"/>
      <w:bookmarkStart w:id="227" w:name="_Toc18818276"/>
      <w:bookmarkStart w:id="228" w:name="_Toc1988601109"/>
      <w:bookmarkStart w:id="229" w:name="_Toc1625538608"/>
      <w:bookmarkStart w:id="230" w:name="_Toc1717861049"/>
      <w:bookmarkStart w:id="231" w:name="_Toc2075655524"/>
      <w:bookmarkStart w:id="232" w:name="_Toc939360067"/>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7.2物资保障</w:t>
      </w:r>
      <w:bookmarkEnd w:id="226"/>
      <w:bookmarkEnd w:id="227"/>
    </w:p>
    <w:bookmarkEnd w:id="228"/>
    <w:bookmarkEnd w:id="229"/>
    <w:bookmarkEnd w:id="230"/>
    <w:bookmarkEnd w:id="231"/>
    <w:bookmarkEnd w:id="232"/>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有关单位、各区、县（市）政府要根据各行业特点建立健全危险化学品应急救援设备、设施器材、人员装备、救援药品等储备制度，储备必要的应急物资和器材，做好维护、管理和登记工作，并及时更新补充。对一些特种或非常用的物资、器材和药品等应合理规划、动态储备。</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233" w:name="_Toc18818277"/>
      <w:bookmarkStart w:id="234" w:name="_Toc1190716816"/>
      <w:bookmarkStart w:id="235" w:name="_Toc1241107089"/>
      <w:bookmarkStart w:id="236" w:name="_Toc355953672"/>
      <w:bookmarkStart w:id="237" w:name="_Toc2006093289"/>
      <w:bookmarkStart w:id="238" w:name="_Toc1691858808"/>
      <w:bookmarkStart w:id="239" w:name="_Toc858390491"/>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7.3通信保障</w:t>
      </w:r>
      <w:bookmarkEnd w:id="233"/>
      <w:bookmarkEnd w:id="234"/>
    </w:p>
    <w:bookmarkEnd w:id="235"/>
    <w:bookmarkEnd w:id="236"/>
    <w:bookmarkEnd w:id="237"/>
    <w:bookmarkEnd w:id="238"/>
    <w:bookmarkEnd w:id="239"/>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经信局牵头，市数据资源局、市人防办以及电信、移动、联通等部门（单位）协调合作，整合各部门（单位）的业务资源和专用通信网络，结合危险化学品大数据平台，建立健全应急信息系统保障工作体系，不断完善系统的功能和信息数据，建立有线和无线相结合、基础电信网络和机动通信网络相配套、多种路由共存的应急通信网络，确保通信畅通。</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240" w:name="_Toc1169137241"/>
      <w:bookmarkStart w:id="241" w:name="_Toc18818278"/>
      <w:bookmarkStart w:id="242" w:name="_Toc197974727"/>
      <w:bookmarkStart w:id="243" w:name="_Toc1049750155"/>
      <w:bookmarkStart w:id="244" w:name="_Toc1407012133"/>
      <w:bookmarkStart w:id="245" w:name="_Toc603416996"/>
      <w:bookmarkStart w:id="246" w:name="_Toc2068610213"/>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7.4交通运输保障</w:t>
      </w:r>
      <w:bookmarkEnd w:id="240"/>
      <w:bookmarkEnd w:id="241"/>
    </w:p>
    <w:bookmarkEnd w:id="242"/>
    <w:bookmarkEnd w:id="243"/>
    <w:bookmarkEnd w:id="244"/>
    <w:bookmarkEnd w:id="245"/>
    <w:bookmarkEnd w:id="246"/>
    <w:p>
      <w:pPr>
        <w:ind w:firstLine="600"/>
        <w:rPr>
          <w:rFonts w:hint="eastAsia" w:ascii="仿宋" w:hAnsi="仿宋" w:eastAsia="仿宋" w:cs="仿宋"/>
          <w:b/>
          <w:bCs/>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市交通运输局应</w:t>
      </w:r>
      <w:r>
        <w:rPr>
          <w:rFonts w:hint="eastAsia" w:ascii="仿宋" w:hAnsi="仿宋" w:eastAsia="仿宋" w:cs="仿宋"/>
          <w:color w:val="000000" w:themeColor="text1"/>
          <w:sz w:val="32"/>
          <w:szCs w:val="24"/>
          <w:lang w:eastAsia="zh-CN"/>
          <w14:textFill>
            <w14:solidFill>
              <w14:schemeClr w14:val="tx1"/>
            </w14:solidFill>
          </w14:textFill>
        </w:rPr>
        <w:t>做好应急</w:t>
      </w:r>
      <w:r>
        <w:rPr>
          <w:rFonts w:hint="eastAsia" w:ascii="仿宋" w:hAnsi="仿宋" w:eastAsia="仿宋" w:cs="仿宋"/>
          <w:color w:val="000000" w:themeColor="text1"/>
          <w:sz w:val="32"/>
          <w:szCs w:val="24"/>
          <w14:textFill>
            <w14:solidFill>
              <w14:schemeClr w14:val="tx1"/>
            </w14:solidFill>
          </w14:textFill>
        </w:rPr>
        <w:t>交通运输</w:t>
      </w:r>
      <w:r>
        <w:rPr>
          <w:rFonts w:hint="eastAsia" w:ascii="仿宋" w:hAnsi="仿宋" w:eastAsia="仿宋" w:cs="仿宋"/>
          <w:color w:val="000000" w:themeColor="text1"/>
          <w:sz w:val="32"/>
          <w:szCs w:val="24"/>
          <w:lang w:eastAsia="zh-CN"/>
          <w14:textFill>
            <w14:solidFill>
              <w14:schemeClr w14:val="tx1"/>
            </w14:solidFill>
          </w14:textFill>
        </w:rPr>
        <w:t>保障、危化品运输车辆调用等工作</w:t>
      </w:r>
      <w:r>
        <w:rPr>
          <w:rFonts w:hint="eastAsia" w:ascii="仿宋" w:hAnsi="仿宋" w:eastAsia="仿宋" w:cs="仿宋"/>
          <w:color w:val="000000" w:themeColor="text1"/>
          <w:sz w:val="32"/>
          <w:szCs w:val="24"/>
          <w14:textFill>
            <w14:solidFill>
              <w14:schemeClr w14:val="tx1"/>
            </w14:solidFill>
          </w14:textFill>
        </w:rPr>
        <w:t>，事故发生地区、县（市）人民政府及其交警等有关部门对事故现场实行交通管理，根据需要组织开设应急救援通道，确保救灾</w:t>
      </w:r>
      <w:r>
        <w:rPr>
          <w:rFonts w:hint="eastAsia" w:ascii="仿宋" w:hAnsi="仿宋" w:cs="仿宋"/>
          <w:color w:val="000000" w:themeColor="text1"/>
          <w:sz w:val="32"/>
          <w:szCs w:val="24"/>
          <w:lang w:eastAsia="zh-CN"/>
          <w14:textFill>
            <w14:solidFill>
              <w14:schemeClr w14:val="tx1"/>
            </w14:solidFill>
          </w14:textFill>
        </w:rPr>
        <w:t>物资</w:t>
      </w:r>
      <w:r>
        <w:rPr>
          <w:rFonts w:hint="eastAsia" w:ascii="仿宋" w:hAnsi="仿宋" w:eastAsia="仿宋" w:cs="仿宋"/>
          <w:color w:val="000000" w:themeColor="text1"/>
          <w:sz w:val="32"/>
          <w:szCs w:val="24"/>
          <w14:textFill>
            <w14:solidFill>
              <w14:schemeClr w14:val="tx1"/>
            </w14:solidFill>
          </w14:textFill>
        </w:rPr>
        <w:t>、器材和人员运送及时到位，并保障人员疏散所需车辆。</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247" w:name="_Toc191504463"/>
      <w:bookmarkStart w:id="248" w:name="_Toc18818279"/>
      <w:bookmarkStart w:id="249" w:name="_Toc2115059818"/>
      <w:bookmarkStart w:id="250" w:name="_Toc165694767"/>
      <w:bookmarkStart w:id="251" w:name="_Toc1949162383"/>
      <w:bookmarkStart w:id="252" w:name="_Toc803898896"/>
      <w:bookmarkStart w:id="253" w:name="_Toc75275934"/>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7.5技术保障</w:t>
      </w:r>
      <w:bookmarkEnd w:id="247"/>
      <w:bookmarkEnd w:id="248"/>
    </w:p>
    <w:bookmarkEnd w:id="249"/>
    <w:bookmarkEnd w:id="250"/>
    <w:bookmarkEnd w:id="251"/>
    <w:bookmarkEnd w:id="252"/>
    <w:bookmarkEnd w:id="253"/>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 xml:space="preserve">市应急局会同有关部门、高校和科研技术单位、加强危险化学品事故预防、预警、预测、应急救援技术的研究开发，不断改进应急技术装备；建立健全危险化学品事故应急救援专家数据库，根据应急处置工作的需要，会同有关部门调集有关专家和技术队伍支持应急处置工作。 </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254" w:name="_Toc18818280"/>
      <w:bookmarkStart w:id="255" w:name="_Toc171277669"/>
      <w:bookmarkStart w:id="256" w:name="_Toc2086580705"/>
      <w:bookmarkStart w:id="257" w:name="_Toc551761004"/>
      <w:bookmarkStart w:id="258" w:name="_Toc2026537955"/>
      <w:bookmarkStart w:id="259" w:name="_Toc209609463"/>
      <w:bookmarkStart w:id="260" w:name="_Toc1724180149"/>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7.6医疗卫生保障</w:t>
      </w:r>
      <w:bookmarkEnd w:id="254"/>
      <w:bookmarkEnd w:id="255"/>
    </w:p>
    <w:bookmarkEnd w:id="256"/>
    <w:bookmarkEnd w:id="257"/>
    <w:bookmarkEnd w:id="258"/>
    <w:bookmarkEnd w:id="259"/>
    <w:bookmarkEnd w:id="260"/>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distribute"/>
        <w:textAlignment w:val="auto"/>
        <w:outlineLvl w:val="9"/>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市卫生健康委应确定救护定点医院和受伤人员专业</w:t>
      </w:r>
      <w:r>
        <w:rPr>
          <w:rFonts w:hint="eastAsia" w:ascii="仿宋" w:hAnsi="仿宋" w:eastAsia="仿宋" w:cs="仿宋"/>
          <w:color w:val="000000" w:themeColor="text1"/>
          <w:sz w:val="32"/>
          <w:szCs w:val="24"/>
          <w:lang w:val="en-US" w:eastAsia="zh-CN"/>
          <w14:textFill>
            <w14:solidFill>
              <w14:schemeClr w14:val="tx1"/>
            </w14:solidFill>
          </w14:textFill>
        </w:rPr>
        <w:t>治疗</w:t>
      </w:r>
      <w:r>
        <w:rPr>
          <w:rFonts w:hint="eastAsia" w:ascii="仿宋" w:hAnsi="仿宋" w:eastAsia="仿宋" w:cs="仿宋"/>
          <w:color w:val="000000" w:themeColor="text1"/>
          <w:sz w:val="32"/>
          <w:szCs w:val="24"/>
          <w14:textFill>
            <w14:solidFill>
              <w14:schemeClr w14:val="tx1"/>
            </w14:solidFill>
          </w14:textFill>
        </w:rPr>
        <w:t>方案，培训相应医护人员，指导定点医院储备相应的医疗器材和急救药品。危险化学品生产、储存、使用、经营、运输和废弃危险化学品处置单位应针对本单位可能发生事故的类别和涉及的危化品危险特性，加强员工自救、互救知识和技能培训，最大限度降低事故造成的人员伤害和健康危害。</w:t>
      </w:r>
    </w:p>
    <w:p>
      <w:pPr>
        <w:ind w:left="0" w:leftChars="0" w:firstLine="642" w:firstLineChars="200"/>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pPr>
      <w:bookmarkStart w:id="261" w:name="_Toc826607909"/>
      <w:bookmarkStart w:id="262" w:name="_Toc18818281"/>
      <w:bookmarkStart w:id="263" w:name="_Toc1001366247"/>
      <w:bookmarkStart w:id="264" w:name="_Toc1955964079"/>
      <w:bookmarkStart w:id="265" w:name="_Toc163131182"/>
      <w:bookmarkStart w:id="266" w:name="_Toc1163650609"/>
      <w:bookmarkStart w:id="267" w:name="_Toc490516462"/>
      <w:r>
        <w:rPr>
          <w:rStyle w:val="23"/>
          <w:rFonts w:hint="eastAsia" w:ascii="仿宋" w:hAnsi="仿宋" w:eastAsia="仿宋" w:cs="仿宋"/>
          <w:color w:val="000000" w:themeColor="text1"/>
          <w:kern w:val="2"/>
          <w:sz w:val="32"/>
          <w:szCs w:val="36"/>
          <w:lang w:val="en-US" w:eastAsia="zh-CN" w:bidi="ar-SA"/>
          <w14:textFill>
            <w14:solidFill>
              <w14:schemeClr w14:val="tx1"/>
            </w14:solidFill>
          </w14:textFill>
        </w:rPr>
        <w:t>7.7应急处置收集场所和避险场所</w:t>
      </w:r>
      <w:bookmarkEnd w:id="261"/>
      <w:bookmarkEnd w:id="262"/>
    </w:p>
    <w:bookmarkEnd w:id="263"/>
    <w:bookmarkEnd w:id="264"/>
    <w:bookmarkEnd w:id="265"/>
    <w:bookmarkEnd w:id="266"/>
    <w:bookmarkEnd w:id="267"/>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各区、县（市）人民政府及相关部门应当监督涉及危险化学品的项目建议和规划安排，落实相应的危险化学品事故应急处置场所和废弃物收集处理场所</w:t>
      </w:r>
      <w:r>
        <w:rPr>
          <w:rFonts w:hint="eastAsia" w:ascii="仿宋" w:hAnsi="仿宋" w:eastAsia="仿宋" w:cs="仿宋"/>
          <w:color w:val="000000" w:themeColor="text1"/>
          <w:sz w:val="32"/>
          <w:szCs w:val="24"/>
          <w:lang w:eastAsia="zh-CN"/>
          <w14:textFill>
            <w14:solidFill>
              <w14:schemeClr w14:val="tx1"/>
            </w14:solidFill>
          </w14:textFill>
        </w:rPr>
        <w:t>、</w:t>
      </w:r>
      <w:r>
        <w:rPr>
          <w:rFonts w:hint="eastAsia" w:ascii="仿宋" w:hAnsi="仿宋" w:eastAsia="仿宋" w:cs="仿宋"/>
          <w:color w:val="000000" w:themeColor="text1"/>
          <w:sz w:val="32"/>
          <w:szCs w:val="24"/>
          <w14:textFill>
            <w14:solidFill>
              <w14:schemeClr w14:val="tx1"/>
            </w14:solidFill>
          </w14:textFill>
        </w:rPr>
        <w:t>人员避险场所。</w:t>
      </w:r>
    </w:p>
    <w:p>
      <w:pPr>
        <w:pStyle w:val="4"/>
        <w:ind w:firstLine="642" w:firstLineChars="200"/>
        <w:jc w:val="both"/>
        <w:rPr>
          <w:rStyle w:val="23"/>
          <w:rFonts w:hint="eastAsia" w:ascii="仿宋" w:hAnsi="仿宋" w:eastAsia="仿宋" w:cs="仿宋"/>
          <w:b/>
          <w:bCs/>
          <w:color w:val="000000" w:themeColor="text1"/>
          <w:kern w:val="2"/>
          <w:sz w:val="32"/>
          <w:szCs w:val="36"/>
          <w:lang w:val="en-US" w:eastAsia="zh-CN" w:bidi="ar-SA"/>
          <w14:textFill>
            <w14:solidFill>
              <w14:schemeClr w14:val="tx1"/>
            </w14:solidFill>
          </w14:textFill>
        </w:rPr>
      </w:pPr>
      <w:bookmarkStart w:id="268" w:name="_Toc34647234"/>
      <w:bookmarkStart w:id="269" w:name="_Toc402837993"/>
      <w:bookmarkStart w:id="270" w:name="_Toc254553237"/>
      <w:bookmarkStart w:id="271" w:name="_Toc568412169"/>
      <w:bookmarkStart w:id="272" w:name="_Toc481256183"/>
      <w:bookmarkStart w:id="273" w:name="_Toc1046152285"/>
      <w:bookmarkStart w:id="274" w:name="_Toc18818282"/>
      <w:r>
        <w:rPr>
          <w:rStyle w:val="23"/>
          <w:rFonts w:hint="eastAsia" w:ascii="仿宋" w:hAnsi="仿宋" w:eastAsia="仿宋" w:cs="仿宋"/>
          <w:b/>
          <w:bCs/>
          <w:color w:val="000000" w:themeColor="text1"/>
          <w:kern w:val="2"/>
          <w:sz w:val="32"/>
          <w:szCs w:val="36"/>
          <w:lang w:val="en-US" w:eastAsia="zh-CN" w:bidi="ar-SA"/>
          <w14:textFill>
            <w14:solidFill>
              <w14:schemeClr w14:val="tx1"/>
            </w14:solidFill>
          </w14:textFill>
        </w:rPr>
        <w:t>7.8经费保障</w:t>
      </w:r>
      <w:bookmarkEnd w:id="268"/>
      <w:bookmarkEnd w:id="269"/>
      <w:bookmarkEnd w:id="270"/>
      <w:bookmarkEnd w:id="271"/>
      <w:bookmarkEnd w:id="272"/>
      <w:bookmarkEnd w:id="273"/>
      <w:bookmarkEnd w:id="274"/>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危险化学品事故应急准备和救援工作所需资金列入市级财政预算。各区、县（市）人民政府每年要将危险化学品事故应急救援经费列入本级财政预算，建立应急处置专项资金，为事故应急处置提供经费支持。按照支出责任与财政事权相适应的原则，由区、县（市）分级负担。</w:t>
      </w:r>
    </w:p>
    <w:p>
      <w:pPr>
        <w:pStyle w:val="4"/>
        <w:ind w:firstLine="642" w:firstLineChars="200"/>
        <w:rPr>
          <w:rStyle w:val="23"/>
          <w:rFonts w:hint="eastAsia" w:ascii="仿宋" w:hAnsi="仿宋" w:eastAsia="仿宋" w:cs="仿宋"/>
          <w:b/>
          <w:bCs/>
          <w:color w:val="000000" w:themeColor="text1"/>
          <w:kern w:val="2"/>
          <w:sz w:val="32"/>
          <w:szCs w:val="36"/>
          <w:lang w:val="en-US" w:eastAsia="zh-CN" w:bidi="ar-SA"/>
          <w14:textFill>
            <w14:solidFill>
              <w14:schemeClr w14:val="tx1"/>
            </w14:solidFill>
          </w14:textFill>
        </w:rPr>
      </w:pPr>
      <w:bookmarkStart w:id="275" w:name="_Toc18818283"/>
      <w:bookmarkStart w:id="276" w:name="_Toc44099159"/>
      <w:bookmarkStart w:id="277" w:name="_Toc943114284"/>
      <w:bookmarkStart w:id="278" w:name="_Toc208238622"/>
      <w:bookmarkStart w:id="279" w:name="_Toc1848329363"/>
      <w:bookmarkStart w:id="280" w:name="_Toc808455097"/>
      <w:bookmarkStart w:id="281" w:name="_Toc1868159571"/>
      <w:r>
        <w:rPr>
          <w:rStyle w:val="23"/>
          <w:rFonts w:hint="eastAsia" w:ascii="仿宋" w:hAnsi="仿宋" w:eastAsia="仿宋" w:cs="仿宋"/>
          <w:b/>
          <w:bCs/>
          <w:color w:val="000000" w:themeColor="text1"/>
          <w:kern w:val="2"/>
          <w:sz w:val="32"/>
          <w:szCs w:val="36"/>
          <w:lang w:val="en-US" w:eastAsia="zh-CN" w:bidi="ar-SA"/>
          <w14:textFill>
            <w14:solidFill>
              <w14:schemeClr w14:val="tx1"/>
            </w14:solidFill>
          </w14:textFill>
        </w:rPr>
        <w:t>7.9社会动员</w:t>
      </w:r>
      <w:bookmarkEnd w:id="275"/>
      <w:bookmarkEnd w:id="276"/>
      <w:bookmarkEnd w:id="277"/>
      <w:bookmarkEnd w:id="278"/>
      <w:bookmarkEnd w:id="279"/>
      <w:bookmarkEnd w:id="280"/>
      <w:bookmarkEnd w:id="281"/>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各区、县（市）人民政府应根据需要动员和组织社会力量参与事故应急救援工作，需协调调用事故发生地以外的社会应急力量参与增援时，有关地方政府应提供帮助。</w:t>
      </w:r>
    </w:p>
    <w:p>
      <w:pPr>
        <w:pStyle w:val="3"/>
        <w:ind w:firstLine="482"/>
        <w:rPr>
          <w:rFonts w:hint="eastAsia" w:ascii="仿宋" w:hAnsi="仿宋" w:eastAsia="仿宋" w:cs="仿宋"/>
          <w:color w:val="000000" w:themeColor="text1"/>
          <w:sz w:val="36"/>
          <w:szCs w:val="48"/>
          <w14:textFill>
            <w14:solidFill>
              <w14:schemeClr w14:val="tx1"/>
            </w14:solidFill>
          </w14:textFill>
        </w:rPr>
      </w:pPr>
      <w:bookmarkStart w:id="282" w:name="_Toc1388569141"/>
      <w:bookmarkStart w:id="283" w:name="_Toc1135182294"/>
      <w:bookmarkStart w:id="284" w:name="_Toc2032083698"/>
      <w:bookmarkStart w:id="285" w:name="_Toc18818284"/>
      <w:bookmarkStart w:id="286" w:name="_Toc452010673"/>
      <w:bookmarkStart w:id="287" w:name="_Toc868251965"/>
      <w:bookmarkStart w:id="288" w:name="_Toc1756881236"/>
      <w:r>
        <w:rPr>
          <w:rFonts w:hint="eastAsia" w:ascii="仿宋" w:hAnsi="仿宋" w:eastAsia="仿宋" w:cs="仿宋"/>
          <w:color w:val="000000" w:themeColor="text1"/>
          <w:sz w:val="36"/>
          <w:szCs w:val="48"/>
          <w14:textFill>
            <w14:solidFill>
              <w14:schemeClr w14:val="tx1"/>
            </w14:solidFill>
          </w14:textFill>
        </w:rPr>
        <w:t>8</w:t>
      </w:r>
      <w:r>
        <w:rPr>
          <w:rStyle w:val="24"/>
          <w:rFonts w:hint="eastAsia" w:ascii="仿宋" w:hAnsi="仿宋" w:eastAsia="仿宋" w:cs="仿宋"/>
          <w:b/>
          <w:bCs/>
          <w:color w:val="000000" w:themeColor="text1"/>
          <w:sz w:val="36"/>
          <w:szCs w:val="48"/>
          <w14:textFill>
            <w14:solidFill>
              <w14:schemeClr w14:val="tx1"/>
            </w14:solidFill>
          </w14:textFill>
        </w:rPr>
        <w:t xml:space="preserve">  </w:t>
      </w:r>
      <w:r>
        <w:rPr>
          <w:rFonts w:hint="eastAsia" w:ascii="仿宋" w:hAnsi="仿宋" w:eastAsia="仿宋" w:cs="仿宋"/>
          <w:color w:val="000000" w:themeColor="text1"/>
          <w:sz w:val="36"/>
          <w:szCs w:val="48"/>
          <w14:textFill>
            <w14:solidFill>
              <w14:schemeClr w14:val="tx1"/>
            </w14:solidFill>
          </w14:textFill>
        </w:rPr>
        <w:t>预案管理</w:t>
      </w:r>
      <w:bookmarkEnd w:id="282"/>
      <w:bookmarkEnd w:id="283"/>
      <w:bookmarkEnd w:id="284"/>
      <w:bookmarkEnd w:id="285"/>
      <w:bookmarkEnd w:id="286"/>
      <w:bookmarkEnd w:id="287"/>
      <w:bookmarkEnd w:id="288"/>
    </w:p>
    <w:p>
      <w:pPr>
        <w:pStyle w:val="4"/>
        <w:ind w:firstLine="642" w:firstLineChars="200"/>
        <w:rPr>
          <w:rStyle w:val="23"/>
          <w:rFonts w:hint="eastAsia" w:ascii="仿宋" w:hAnsi="仿宋" w:eastAsia="仿宋" w:cs="仿宋"/>
          <w:b/>
          <w:bCs/>
          <w:color w:val="000000" w:themeColor="text1"/>
          <w:kern w:val="2"/>
          <w:sz w:val="32"/>
          <w:szCs w:val="36"/>
          <w:lang w:val="en-US" w:eastAsia="zh-CN" w:bidi="ar-SA"/>
          <w14:textFill>
            <w14:solidFill>
              <w14:schemeClr w14:val="tx1"/>
            </w14:solidFill>
          </w14:textFill>
        </w:rPr>
      </w:pPr>
      <w:bookmarkStart w:id="289" w:name="_Toc18818285"/>
      <w:bookmarkStart w:id="290" w:name="_Toc2090512170"/>
      <w:bookmarkStart w:id="291" w:name="_Toc86078870"/>
      <w:bookmarkStart w:id="292" w:name="_Toc1175456347"/>
      <w:bookmarkStart w:id="293" w:name="_Toc1627779850"/>
      <w:bookmarkStart w:id="294" w:name="_Toc1039887938"/>
      <w:bookmarkStart w:id="295" w:name="_Toc1729767232"/>
      <w:r>
        <w:rPr>
          <w:rStyle w:val="23"/>
          <w:rFonts w:hint="eastAsia" w:ascii="仿宋" w:hAnsi="仿宋" w:eastAsia="仿宋" w:cs="仿宋"/>
          <w:b/>
          <w:bCs/>
          <w:color w:val="000000" w:themeColor="text1"/>
          <w:kern w:val="2"/>
          <w:sz w:val="32"/>
          <w:szCs w:val="36"/>
          <w:lang w:val="en-US" w:eastAsia="zh-CN" w:bidi="ar-SA"/>
          <w14:textFill>
            <w14:solidFill>
              <w14:schemeClr w14:val="tx1"/>
            </w14:solidFill>
          </w14:textFill>
        </w:rPr>
        <w:t>8.1宣传教育和培训</w:t>
      </w:r>
      <w:bookmarkEnd w:id="289"/>
      <w:bookmarkEnd w:id="290"/>
      <w:bookmarkEnd w:id="291"/>
      <w:bookmarkEnd w:id="292"/>
      <w:bookmarkEnd w:id="293"/>
      <w:bookmarkEnd w:id="294"/>
      <w:bookmarkEnd w:id="295"/>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各区、县（市）有关部门、各相关单位应当通过报刊、广播、电视、网络等媒体广泛宣传危险化学品事故应急法律法规和应急知识，增强全民安全与应急意识、社会责任意识、防范意识，提高公众自救、互救能力。</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危化品事故应急预案发布后，市危化品应急指挥部各成员单位、应急救援队伍要进行预案解读培训，熟悉应急职责、响应程序和处置措施，提高应急联动处置能力。</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加强应急救援培训，将应急救援知识纳入安全生产培训内容，增强危险化学品涉及单位从业人员应急意识和提升应急技能。定期组织开展救援队伍的专业技能培训，不断提高救援人员的业务知识和专业救援能力。</w:t>
      </w:r>
    </w:p>
    <w:p>
      <w:pPr>
        <w:pStyle w:val="4"/>
        <w:ind w:firstLine="642" w:firstLineChars="200"/>
        <w:rPr>
          <w:rStyle w:val="23"/>
          <w:rFonts w:hint="eastAsia" w:ascii="仿宋" w:hAnsi="仿宋" w:eastAsia="仿宋" w:cs="仿宋"/>
          <w:b/>
          <w:bCs/>
          <w:color w:val="000000" w:themeColor="text1"/>
          <w:kern w:val="2"/>
          <w:sz w:val="32"/>
          <w:szCs w:val="36"/>
          <w:lang w:val="en-US" w:eastAsia="zh-CN" w:bidi="ar-SA"/>
          <w14:textFill>
            <w14:solidFill>
              <w14:schemeClr w14:val="tx1"/>
            </w14:solidFill>
          </w14:textFill>
        </w:rPr>
      </w:pPr>
      <w:bookmarkStart w:id="296" w:name="_Toc489520317"/>
      <w:bookmarkStart w:id="297" w:name="_Toc95797446"/>
      <w:bookmarkStart w:id="298" w:name="_Toc274862948"/>
      <w:bookmarkStart w:id="299" w:name="_Toc2098077158"/>
      <w:bookmarkStart w:id="300" w:name="_Toc1160545256"/>
      <w:bookmarkStart w:id="301" w:name="_Toc18818286"/>
      <w:bookmarkStart w:id="302" w:name="_Toc1312751869"/>
      <w:r>
        <w:rPr>
          <w:rStyle w:val="23"/>
          <w:rFonts w:hint="eastAsia" w:ascii="仿宋" w:hAnsi="仿宋" w:eastAsia="仿宋" w:cs="仿宋"/>
          <w:b/>
          <w:bCs/>
          <w:color w:val="000000" w:themeColor="text1"/>
          <w:kern w:val="2"/>
          <w:sz w:val="32"/>
          <w:szCs w:val="36"/>
          <w:lang w:val="en-US" w:eastAsia="zh-CN" w:bidi="ar-SA"/>
          <w14:textFill>
            <w14:solidFill>
              <w14:schemeClr w14:val="tx1"/>
            </w14:solidFill>
          </w14:textFill>
        </w:rPr>
        <w:t>8.2预案演练</w:t>
      </w:r>
      <w:bookmarkEnd w:id="296"/>
      <w:bookmarkEnd w:id="297"/>
      <w:bookmarkEnd w:id="298"/>
      <w:bookmarkEnd w:id="299"/>
      <w:bookmarkEnd w:id="300"/>
      <w:bookmarkEnd w:id="301"/>
      <w:bookmarkEnd w:id="302"/>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危化品应急指挥部办公室负责定期组织应急演练，可根据实际情况，采取实战演练、桌面推演等方式，组织开展单项演练与综合演练相结合、人员广泛参与、处置联动性强、形式多样的应急演练，并做好应急演练评估。市危化品事故应急预案至少每2年组织1次演练，做好各部门之间的协调配合及通信联络，确保紧急状态下的有效沟通和统一指挥。</w:t>
      </w:r>
    </w:p>
    <w:p>
      <w:pPr>
        <w:pStyle w:val="4"/>
        <w:ind w:firstLine="642" w:firstLineChars="200"/>
        <w:rPr>
          <w:rStyle w:val="23"/>
          <w:rFonts w:hint="eastAsia" w:ascii="仿宋" w:hAnsi="仿宋" w:eastAsia="仿宋" w:cs="仿宋"/>
          <w:b/>
          <w:bCs/>
          <w:color w:val="000000" w:themeColor="text1"/>
          <w:kern w:val="2"/>
          <w:sz w:val="32"/>
          <w:szCs w:val="36"/>
          <w:lang w:val="en-US" w:eastAsia="zh-CN" w:bidi="ar-SA"/>
          <w14:textFill>
            <w14:solidFill>
              <w14:schemeClr w14:val="tx1"/>
            </w14:solidFill>
          </w14:textFill>
        </w:rPr>
      </w:pPr>
      <w:bookmarkStart w:id="303" w:name="_Toc1409472382"/>
      <w:bookmarkStart w:id="304" w:name="_Toc18818287"/>
      <w:bookmarkStart w:id="305" w:name="_Toc605969062"/>
      <w:bookmarkStart w:id="306" w:name="_Toc767750570"/>
      <w:bookmarkStart w:id="307" w:name="_Toc944606126"/>
      <w:bookmarkStart w:id="308" w:name="_Toc1602932682"/>
      <w:bookmarkStart w:id="309" w:name="_Toc2034401362"/>
      <w:r>
        <w:rPr>
          <w:rStyle w:val="23"/>
          <w:rFonts w:hint="eastAsia" w:ascii="仿宋" w:hAnsi="仿宋" w:eastAsia="仿宋" w:cs="仿宋"/>
          <w:b/>
          <w:bCs/>
          <w:color w:val="000000" w:themeColor="text1"/>
          <w:kern w:val="2"/>
          <w:sz w:val="32"/>
          <w:szCs w:val="36"/>
          <w:lang w:val="en-US" w:eastAsia="zh-CN" w:bidi="ar-SA"/>
          <w14:textFill>
            <w14:solidFill>
              <w14:schemeClr w14:val="tx1"/>
            </w14:solidFill>
          </w14:textFill>
        </w:rPr>
        <w:t>8.3预案管理</w:t>
      </w:r>
      <w:bookmarkEnd w:id="303"/>
      <w:bookmarkEnd w:id="304"/>
      <w:bookmarkEnd w:id="305"/>
      <w:bookmarkEnd w:id="306"/>
      <w:bookmarkEnd w:id="307"/>
      <w:bookmarkEnd w:id="308"/>
      <w:bookmarkEnd w:id="309"/>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市危化品应急指挥办公室负责本预案的修订和评审工作，并报市安委会和省安委办备案。市应急指挥部成员单位和各区、县（市）人民政府，应根据本预案和所承担的应急处置任务，制定相应的应急预案，报市危化品应急指挥部办公室备案。</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危险化学品从业单位根据有关法律法规规定及标准要求制定本单位危险化学品事故应急预案，并按照隶属关系报市、区两级</w:t>
      </w:r>
      <w:r>
        <w:rPr>
          <w:rFonts w:hint="eastAsia" w:ascii="仿宋" w:hAnsi="仿宋" w:eastAsia="仿宋" w:cs="仿宋"/>
          <w:color w:val="000000" w:themeColor="text1"/>
          <w:sz w:val="32"/>
          <w:szCs w:val="24"/>
          <w:lang w:eastAsia="zh-CN"/>
          <w14:textFill>
            <w14:solidFill>
              <w14:schemeClr w14:val="tx1"/>
            </w14:solidFill>
          </w14:textFill>
        </w:rPr>
        <w:t>负有</w:t>
      </w:r>
      <w:r>
        <w:rPr>
          <w:rFonts w:hint="eastAsia" w:ascii="仿宋" w:hAnsi="仿宋" w:eastAsia="仿宋" w:cs="仿宋"/>
          <w:color w:val="000000" w:themeColor="text1"/>
          <w:sz w:val="32"/>
          <w:szCs w:val="24"/>
          <w14:textFill>
            <w14:solidFill>
              <w14:schemeClr w14:val="tx1"/>
            </w14:solidFill>
          </w14:textFill>
        </w:rPr>
        <w:t>安全监管</w:t>
      </w:r>
      <w:r>
        <w:rPr>
          <w:rFonts w:hint="eastAsia" w:ascii="仿宋" w:hAnsi="仿宋" w:eastAsia="仿宋" w:cs="仿宋"/>
          <w:color w:val="000000" w:themeColor="text1"/>
          <w:sz w:val="32"/>
          <w:szCs w:val="24"/>
          <w:lang w:eastAsia="zh-CN"/>
          <w14:textFill>
            <w14:solidFill>
              <w14:schemeClr w14:val="tx1"/>
            </w14:solidFill>
          </w14:textFill>
        </w:rPr>
        <w:t>职责</w:t>
      </w:r>
      <w:r>
        <w:rPr>
          <w:rFonts w:hint="eastAsia" w:ascii="仿宋" w:hAnsi="仿宋" w:eastAsia="仿宋" w:cs="仿宋"/>
          <w:color w:val="000000" w:themeColor="text1"/>
          <w:sz w:val="32"/>
          <w:szCs w:val="24"/>
          <w14:textFill>
            <w14:solidFill>
              <w14:schemeClr w14:val="tx1"/>
            </w14:solidFill>
          </w14:textFill>
        </w:rPr>
        <w:t>部门备案。</w:t>
      </w:r>
    </w:p>
    <w:p>
      <w:pPr>
        <w:pStyle w:val="4"/>
        <w:ind w:firstLine="642" w:firstLineChars="200"/>
        <w:rPr>
          <w:rStyle w:val="23"/>
          <w:rFonts w:hint="eastAsia" w:ascii="仿宋" w:hAnsi="仿宋" w:eastAsia="仿宋" w:cs="仿宋"/>
          <w:b/>
          <w:bCs/>
          <w:color w:val="000000" w:themeColor="text1"/>
          <w:kern w:val="2"/>
          <w:sz w:val="32"/>
          <w:szCs w:val="36"/>
          <w:lang w:val="en-US" w:eastAsia="zh-CN" w:bidi="ar-SA"/>
          <w14:textFill>
            <w14:solidFill>
              <w14:schemeClr w14:val="tx1"/>
            </w14:solidFill>
          </w14:textFill>
        </w:rPr>
      </w:pPr>
      <w:bookmarkStart w:id="310" w:name="_Toc2102537046"/>
      <w:bookmarkStart w:id="311" w:name="_Toc1422835408"/>
      <w:bookmarkStart w:id="312" w:name="_Toc18818288"/>
      <w:bookmarkStart w:id="313" w:name="_Toc1881883916"/>
      <w:bookmarkStart w:id="314" w:name="_Toc1319195617"/>
      <w:bookmarkStart w:id="315" w:name="_Toc441149650"/>
      <w:bookmarkStart w:id="316" w:name="_Toc782597377"/>
      <w:r>
        <w:rPr>
          <w:rStyle w:val="23"/>
          <w:rFonts w:hint="eastAsia" w:ascii="仿宋" w:hAnsi="仿宋" w:eastAsia="仿宋" w:cs="仿宋"/>
          <w:b/>
          <w:bCs/>
          <w:color w:val="000000" w:themeColor="text1"/>
          <w:kern w:val="2"/>
          <w:sz w:val="32"/>
          <w:szCs w:val="36"/>
          <w:lang w:val="en-US" w:eastAsia="zh-CN" w:bidi="ar-SA"/>
          <w14:textFill>
            <w14:solidFill>
              <w14:schemeClr w14:val="tx1"/>
            </w14:solidFill>
          </w14:textFill>
        </w:rPr>
        <w:t>8.4预案实施</w:t>
      </w:r>
      <w:bookmarkEnd w:id="310"/>
      <w:bookmarkEnd w:id="311"/>
      <w:bookmarkEnd w:id="312"/>
      <w:bookmarkEnd w:id="313"/>
      <w:bookmarkEnd w:id="314"/>
      <w:bookmarkEnd w:id="315"/>
      <w:bookmarkEnd w:id="316"/>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本预案自发布之日起实施。《杭州市人民政府办公厅关于印发杭州市危险化学品事故应急救援预案》（杭政办函﹝2005﹞66号）同时废止。</w:t>
      </w:r>
    </w:p>
    <w:p>
      <w:pPr>
        <w:ind w:firstLine="212" w:firstLineChars="66"/>
        <w:rPr>
          <w:b/>
          <w:bCs/>
          <w:color w:val="000000" w:themeColor="text1"/>
          <w:sz w:val="32"/>
          <w:szCs w:val="24"/>
          <w14:textFill>
            <w14:solidFill>
              <w14:schemeClr w14:val="tx1"/>
            </w14:solidFill>
          </w14:textFill>
        </w:rPr>
      </w:pPr>
    </w:p>
    <w:p>
      <w:pPr>
        <w:ind w:firstLine="212" w:firstLineChars="66"/>
        <w:rPr>
          <w:b/>
          <w:bCs/>
          <w:color w:val="000000" w:themeColor="text1"/>
          <w:sz w:val="32"/>
          <w:szCs w:val="24"/>
          <w14:textFill>
            <w14:solidFill>
              <w14:schemeClr w14:val="tx1"/>
            </w14:solidFill>
          </w14:textFill>
        </w:rPr>
      </w:pPr>
    </w:p>
    <w:p>
      <w:pPr>
        <w:ind w:firstLine="212" w:firstLineChars="66"/>
        <w:rPr>
          <w:b/>
          <w:bCs/>
          <w:color w:val="000000" w:themeColor="text1"/>
          <w:sz w:val="32"/>
          <w:szCs w:val="24"/>
          <w14:textFill>
            <w14:solidFill>
              <w14:schemeClr w14:val="tx1"/>
            </w14:solidFill>
          </w14:textFill>
        </w:rPr>
      </w:pPr>
    </w:p>
    <w:p>
      <w:pPr>
        <w:ind w:left="0" w:leftChars="0" w:firstLine="0" w:firstLineChars="0"/>
        <w:rPr>
          <w:rFonts w:hint="eastAsia"/>
          <w:b/>
          <w:bCs/>
          <w:color w:val="000000" w:themeColor="text1"/>
          <w:sz w:val="32"/>
          <w:szCs w:val="24"/>
          <w14:textFill>
            <w14:solidFill>
              <w14:schemeClr w14:val="tx1"/>
            </w14:solidFill>
          </w14:textFill>
        </w:rPr>
      </w:pPr>
      <w:r>
        <w:rPr>
          <w:rFonts w:hint="eastAsia"/>
          <w:b/>
          <w:bCs/>
          <w:color w:val="000000" w:themeColor="text1"/>
          <w:sz w:val="32"/>
          <w:szCs w:val="24"/>
          <w14:textFill>
            <w14:solidFill>
              <w14:schemeClr w14:val="tx1"/>
            </w14:solidFill>
          </w14:textFill>
        </w:rPr>
        <w:br w:type="page"/>
      </w:r>
    </w:p>
    <w:p>
      <w:pPr>
        <w:ind w:left="0" w:leftChars="0" w:firstLine="0" w:firstLineChars="0"/>
        <w:rPr>
          <w:b/>
          <w:bCs/>
          <w:color w:val="000000" w:themeColor="text1"/>
          <w:sz w:val="32"/>
          <w:szCs w:val="24"/>
          <w14:textFill>
            <w14:solidFill>
              <w14:schemeClr w14:val="tx1"/>
            </w14:solidFill>
          </w14:textFill>
        </w:rPr>
      </w:pPr>
      <w:r>
        <w:rPr>
          <w:rFonts w:hint="eastAsia"/>
          <w:b/>
          <w:bCs/>
          <w:color w:val="000000" w:themeColor="text1"/>
          <w:sz w:val="32"/>
          <w:szCs w:val="24"/>
          <w14:textFill>
            <w14:solidFill>
              <w14:schemeClr w14:val="tx1"/>
            </w14:solidFill>
          </w14:textFill>
        </w:rPr>
        <w:t>名词术语说明</w:t>
      </w:r>
    </w:p>
    <w:p>
      <w:pPr>
        <w:ind w:firstLine="600"/>
        <w:rPr>
          <w:rFonts w:hint="eastAsia" w:ascii="仿宋" w:hAnsi="仿宋" w:eastAsia="仿宋" w:cs="仿宋"/>
          <w:color w:val="000000" w:themeColor="text1"/>
          <w:sz w:val="32"/>
          <w:szCs w:val="24"/>
          <w14:textFill>
            <w14:solidFill>
              <w14:schemeClr w14:val="tx1"/>
            </w14:solidFill>
          </w14:textFill>
        </w:rPr>
      </w:pPr>
      <w:r>
        <w:rPr>
          <w:rFonts w:hint="eastAsia" w:ascii="仿宋" w:hAnsi="仿宋" w:eastAsia="仿宋" w:cs="仿宋"/>
          <w:color w:val="000000" w:themeColor="text1"/>
          <w:sz w:val="32"/>
          <w:szCs w:val="24"/>
          <w14:textFill>
            <w14:solidFill>
              <w14:schemeClr w14:val="tx1"/>
            </w14:solidFill>
          </w14:textFill>
        </w:rPr>
        <w:t>危险化学品：是指具有毒害、腐蚀、爆炸、燃烧、助燃等性质，对人体、设施、环境具有危害的剧毒化学品和其他化学品。本预案所指危险化学品不包括放射性物品。</w:t>
      </w:r>
      <w:r>
        <w:rPr>
          <w:rFonts w:hint="eastAsia" w:ascii="仿宋" w:hAnsi="仿宋" w:eastAsia="仿宋" w:cs="仿宋"/>
          <w:color w:val="000000" w:themeColor="text1"/>
          <w:sz w:val="32"/>
          <w:szCs w:val="24"/>
          <w14:textFill>
            <w14:solidFill>
              <w14:schemeClr w14:val="tx1"/>
            </w14:solidFill>
          </w14:textFill>
        </w:rPr>
        <w:br w:type="textWrapping"/>
      </w:r>
      <w:r>
        <w:rPr>
          <w:rFonts w:hint="eastAsia" w:ascii="仿宋" w:hAnsi="仿宋" w:eastAsia="仿宋" w:cs="仿宋"/>
          <w:color w:val="000000" w:themeColor="text1"/>
          <w:sz w:val="32"/>
          <w:szCs w:val="24"/>
          <w14:textFill>
            <w14:solidFill>
              <w14:schemeClr w14:val="tx1"/>
            </w14:solidFill>
          </w14:textFill>
        </w:rPr>
        <w:t>　　危险化学品重大危险源：是指长期或临时生产、加工、使用或储存危险化学品，且危险化学品的数量等于或超过临界量的单元。</w:t>
      </w:r>
      <w:r>
        <w:rPr>
          <w:rFonts w:hint="eastAsia" w:ascii="仿宋" w:hAnsi="仿宋" w:eastAsia="仿宋" w:cs="仿宋"/>
          <w:color w:val="000000" w:themeColor="text1"/>
          <w:sz w:val="32"/>
          <w:szCs w:val="24"/>
          <w14:textFill>
            <w14:solidFill>
              <w14:schemeClr w14:val="tx1"/>
            </w14:solidFill>
          </w14:textFill>
        </w:rPr>
        <w:br w:type="textWrapping"/>
      </w:r>
      <w:r>
        <w:rPr>
          <w:rFonts w:hint="eastAsia" w:ascii="仿宋" w:hAnsi="仿宋" w:eastAsia="仿宋" w:cs="仿宋"/>
          <w:color w:val="000000" w:themeColor="text1"/>
          <w:sz w:val="32"/>
          <w:szCs w:val="24"/>
          <w14:textFill>
            <w14:solidFill>
              <w14:schemeClr w14:val="tx1"/>
            </w14:solidFill>
          </w14:textFill>
        </w:rPr>
        <w:t>　　本预案有关数量的表述中“以上”含本数，“以下”不含本数。</w:t>
      </w:r>
    </w:p>
    <w:p>
      <w:pPr>
        <w:widowControl/>
        <w:ind w:firstLine="0" w:firstLineChars="0"/>
        <w:rPr>
          <w:color w:val="000000" w:themeColor="text1"/>
          <w:sz w:val="32"/>
          <w:szCs w:val="24"/>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color w:val="000000" w:themeColor="text1"/>
          <w:sz w:val="32"/>
          <w:szCs w:val="24"/>
          <w14:textFill>
            <w14:solidFill>
              <w14:schemeClr w14:val="tx1"/>
            </w14:solidFill>
          </w14:textFill>
        </w:rPr>
        <w:br w:type="page"/>
      </w:r>
    </w:p>
    <w:p>
      <w:pPr>
        <w:pStyle w:val="3"/>
        <w:ind w:firstLine="482"/>
        <w:jc w:val="left"/>
        <w:rPr>
          <w:color w:val="000000" w:themeColor="text1"/>
          <w:sz w:val="28"/>
          <w:szCs w:val="28"/>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bookmarkStart w:id="317" w:name="_Toc1884293874"/>
      <w:bookmarkStart w:id="318" w:name="_Toc1336308114"/>
      <w:bookmarkStart w:id="319" w:name="_Toc318520982"/>
      <w:bookmarkStart w:id="320" w:name="_Toc1219312371"/>
      <w:bookmarkStart w:id="321" w:name="_Toc924771822"/>
      <w:bookmarkStart w:id="322" w:name="_Toc472269984"/>
      <w:bookmarkStart w:id="323" w:name="_Toc18818289"/>
      <w:r>
        <w:rPr>
          <w:color w:val="000000" w:themeColor="text1"/>
          <w:sz w:val="36"/>
          <w:szCs w:val="48"/>
          <w14:textFill>
            <w14:solidFill>
              <w14:schemeClr w14:val="tx1"/>
            </w14:solidFill>
          </w14:textFill>
        </w:rPr>
        <w:t>9  附件</w:t>
      </w:r>
      <w:bookmarkEnd w:id="317"/>
      <w:bookmarkEnd w:id="318"/>
      <w:bookmarkEnd w:id="319"/>
      <w:bookmarkEnd w:id="320"/>
      <w:bookmarkEnd w:id="321"/>
      <w:bookmarkEnd w:id="322"/>
      <w:bookmarkEnd w:id="323"/>
      <w:r>
        <w:rPr>
          <w:rFonts w:hint="eastAsia"/>
          <w:color w:val="000000" w:themeColor="text1"/>
          <w:sz w:val="36"/>
          <w:szCs w:val="48"/>
          <w:lang w:val="en-US" w:eastAsia="zh-CN"/>
          <w14:textFill>
            <w14:solidFill>
              <w14:schemeClr w14:val="tx1"/>
            </w14:solidFill>
          </w14:textFill>
        </w:rPr>
        <w:t xml:space="preserve">       </w:t>
      </w:r>
      <w:bookmarkStart w:id="324" w:name="_Toc1813641307"/>
      <w:bookmarkStart w:id="325" w:name="_Toc18818291"/>
      <w:bookmarkStart w:id="326" w:name="_Toc2012182422"/>
      <w:bookmarkStart w:id="327" w:name="_Toc689502480"/>
      <w:bookmarkStart w:id="328" w:name="_Toc2097190548"/>
      <w:bookmarkStart w:id="329" w:name="_Toc1339129965"/>
      <w:bookmarkStart w:id="330" w:name="_Toc729165305"/>
      <w:r>
        <w:rPr>
          <w:color w:val="000000" w:themeColor="text1"/>
          <w:sz w:val="32"/>
          <w:szCs w:val="36"/>
          <w14:textFill>
            <w14:solidFill>
              <w14:schemeClr w14:val="tx1"/>
            </w14:solidFill>
          </w14:textFill>
        </w:rPr>
        <w:t xml:space="preserve">附件 </w:t>
      </w:r>
      <w:r>
        <w:rPr>
          <w:rFonts w:hint="eastAsia"/>
          <w:color w:val="000000" w:themeColor="text1"/>
          <w:sz w:val="32"/>
          <w:szCs w:val="36"/>
          <w14:textFill>
            <w14:solidFill>
              <w14:schemeClr w14:val="tx1"/>
            </w14:solidFill>
          </w14:textFill>
        </w:rPr>
        <w:t>1</w:t>
      </w:r>
      <w:r>
        <w:rPr>
          <w:color w:val="000000" w:themeColor="text1"/>
          <w:sz w:val="32"/>
          <w:szCs w:val="36"/>
          <w14:textFill>
            <w14:solidFill>
              <w14:schemeClr w14:val="tx1"/>
            </w14:solidFill>
          </w14:textFill>
        </w:rPr>
        <w:t>：</w:t>
      </w:r>
      <w:bookmarkEnd w:id="324"/>
      <w:bookmarkEnd w:id="325"/>
      <w:bookmarkStart w:id="331" w:name="_Toc18818293"/>
      <w:bookmarkStart w:id="332" w:name="_Toc2124589642"/>
      <w:r>
        <w:rPr>
          <w:color w:val="000000" w:themeColor="text1"/>
          <w:sz w:val="32"/>
          <w:szCs w:val="36"/>
          <w14:textFill>
            <w14:solidFill>
              <w14:schemeClr w14:val="tx1"/>
            </w14:solidFill>
          </w14:textFill>
        </w:rPr>
        <w:t>杭州市危险化学品事故现场指挥部设置图</w:t>
      </w:r>
      <w:bookmarkEnd w:id="326"/>
      <w:bookmarkEnd w:id="327"/>
      <w:bookmarkEnd w:id="328"/>
      <w:bookmarkEnd w:id="329"/>
      <w:bookmarkEnd w:id="330"/>
      <w:bookmarkEnd w:id="331"/>
      <w:bookmarkEnd w:id="332"/>
      <w:r>
        <w:rPr>
          <w:color w:val="000000" w:themeColor="text1"/>
          <w:sz w:val="32"/>
          <w:szCs w:val="24"/>
          <w14:textFill>
            <w14:solidFill>
              <w14:schemeClr w14:val="tx1"/>
            </w14:solidFill>
          </w14:textFill>
        </w:rPr>
        <w:drawing>
          <wp:inline distT="0" distB="0" distL="114300" distR="114300">
            <wp:extent cx="8644255" cy="4587875"/>
            <wp:effectExtent l="0" t="0" r="4445" b="3175"/>
            <wp:docPr id="1" name="图片 1" descr="/home/user/Desktop/webwxgetmsgimg.jpg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ome/user/Desktop/webwxgetmsgimg.jpgwebwxgetmsgimg"/>
                    <pic:cNvPicPr>
                      <a:picLocks noChangeAspect="1"/>
                    </pic:cNvPicPr>
                  </pic:nvPicPr>
                  <pic:blipFill>
                    <a:blip r:embed="rId12"/>
                    <a:stretch>
                      <a:fillRect/>
                    </a:stretch>
                  </pic:blipFill>
                  <pic:spPr>
                    <a:xfrm>
                      <a:off x="0" y="0"/>
                      <a:ext cx="8644255" cy="4587875"/>
                    </a:xfrm>
                    <a:prstGeom prst="rect">
                      <a:avLst/>
                    </a:prstGeom>
                    <a:noFill/>
                    <a:ln w="9525">
                      <a:noFill/>
                      <a:miter/>
                    </a:ln>
                  </pic:spPr>
                </pic:pic>
              </a:graphicData>
            </a:graphic>
          </wp:inline>
        </w:drawing>
      </w:r>
    </w:p>
    <w:p>
      <w:pPr>
        <w:pStyle w:val="4"/>
        <w:jc w:val="center"/>
        <w:rPr>
          <w:color w:val="000000" w:themeColor="text1"/>
          <w:sz w:val="32"/>
          <w:szCs w:val="36"/>
          <w14:textFill>
            <w14:solidFill>
              <w14:schemeClr w14:val="tx1"/>
            </w14:solidFill>
          </w14:textFill>
        </w:rPr>
      </w:pPr>
      <w:bookmarkStart w:id="333" w:name="_Toc188786958"/>
      <w:bookmarkStart w:id="334" w:name="_Toc84301779"/>
      <w:bookmarkStart w:id="335" w:name="_Toc904639982"/>
      <w:bookmarkStart w:id="336" w:name="_Toc2088023612"/>
      <w:bookmarkStart w:id="337" w:name="_Toc306219502"/>
      <w:bookmarkStart w:id="338" w:name="_Toc18818294"/>
      <w:bookmarkStart w:id="339" w:name="_Toc145996336"/>
      <w:r>
        <w:rPr>
          <w:color w:val="000000" w:themeColor="text1"/>
          <w:sz w:val="32"/>
          <w:szCs w:val="36"/>
          <w14:textFill>
            <w14:solidFill>
              <w14:schemeClr w14:val="tx1"/>
            </w14:solidFill>
          </w14:textFill>
        </w:rPr>
        <w:t>附件</w:t>
      </w:r>
      <w:r>
        <w:rPr>
          <w:rFonts w:hint="eastAsia"/>
          <w:color w:val="000000" w:themeColor="text1"/>
          <w:sz w:val="32"/>
          <w:szCs w:val="36"/>
          <w:lang w:val="en-US" w:eastAsia="zh-CN"/>
          <w14:textFill>
            <w14:solidFill>
              <w14:schemeClr w14:val="tx1"/>
            </w14:solidFill>
          </w14:textFill>
        </w:rPr>
        <w:t>2</w:t>
      </w:r>
      <w:r>
        <w:rPr>
          <w:color w:val="000000" w:themeColor="text1"/>
          <w:sz w:val="32"/>
          <w:szCs w:val="36"/>
          <w14:textFill>
            <w14:solidFill>
              <w14:schemeClr w14:val="tx1"/>
            </w14:solidFill>
          </w14:textFill>
        </w:rPr>
        <w:t>：杭州市危险化学品事故现场指挥部各工作组职责分工一览表</w:t>
      </w:r>
      <w:bookmarkEnd w:id="333"/>
      <w:bookmarkEnd w:id="334"/>
      <w:bookmarkEnd w:id="335"/>
      <w:bookmarkEnd w:id="336"/>
      <w:bookmarkEnd w:id="337"/>
      <w:bookmarkEnd w:id="338"/>
      <w:bookmarkEnd w:id="339"/>
    </w:p>
    <w:tbl>
      <w:tblPr>
        <w:tblStyle w:val="17"/>
        <w:tblW w:w="138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1"/>
        <w:gridCol w:w="5387"/>
        <w:gridCol w:w="1701"/>
        <w:gridCol w:w="4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04" w:type="dxa"/>
            <w:vAlign w:val="center"/>
          </w:tcPr>
          <w:p>
            <w:pPr>
              <w:ind w:firstLine="0" w:firstLineChars="0"/>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序号</w:t>
            </w:r>
          </w:p>
        </w:tc>
        <w:tc>
          <w:tcPr>
            <w:tcW w:w="1701" w:type="dxa"/>
            <w:vAlign w:val="center"/>
          </w:tcPr>
          <w:p>
            <w:pPr>
              <w:ind w:firstLine="0" w:firstLineChars="0"/>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名称</w:t>
            </w:r>
          </w:p>
        </w:tc>
        <w:tc>
          <w:tcPr>
            <w:tcW w:w="5387" w:type="dxa"/>
            <w:vAlign w:val="center"/>
          </w:tcPr>
          <w:p>
            <w:pPr>
              <w:ind w:firstLine="0" w:firstLineChars="0"/>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主要职责</w:t>
            </w:r>
          </w:p>
        </w:tc>
        <w:tc>
          <w:tcPr>
            <w:tcW w:w="1701" w:type="dxa"/>
            <w:vAlign w:val="center"/>
          </w:tcPr>
          <w:p>
            <w:pPr>
              <w:ind w:firstLine="0" w:firstLineChars="0"/>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组长单位</w:t>
            </w:r>
          </w:p>
        </w:tc>
        <w:tc>
          <w:tcPr>
            <w:tcW w:w="4370" w:type="dxa"/>
            <w:vAlign w:val="center"/>
          </w:tcPr>
          <w:p>
            <w:pPr>
              <w:ind w:firstLine="0" w:firstLineChars="0"/>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组成单位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04" w:type="dxa"/>
            <w:vAlign w:val="center"/>
          </w:tcPr>
          <w:p>
            <w:pPr>
              <w:pStyle w:val="26"/>
              <w:numPr>
                <w:ilvl w:val="0"/>
                <w:numId w:val="0"/>
              </w:numPr>
              <w:ind w:leftChars="0"/>
              <w:jc w:val="center"/>
              <w:rPr>
                <w:rFonts w:hint="eastAsia" w:eastAsia="仿宋"/>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危险源控制组</w:t>
            </w:r>
          </w:p>
        </w:tc>
        <w:tc>
          <w:tcPr>
            <w:tcW w:w="5387"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负责紧急状态下的现场抢险作业，及时控制危险源，并根据危险化学品的性质立即组织专用的防护用品及专用工具等。</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市</w:t>
            </w:r>
            <w:r>
              <w:rPr>
                <w:rFonts w:hint="eastAsia"/>
                <w:color w:val="000000" w:themeColor="text1"/>
                <w:sz w:val="28"/>
                <w:szCs w:val="28"/>
                <w14:textFill>
                  <w14:solidFill>
                    <w14:schemeClr w14:val="tx1"/>
                  </w14:solidFill>
                </w14:textFill>
              </w:rPr>
              <w:t>消防救援支队</w:t>
            </w:r>
          </w:p>
        </w:tc>
        <w:tc>
          <w:tcPr>
            <w:tcW w:w="4370"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市应急</w:t>
            </w:r>
            <w:r>
              <w:rPr>
                <w:rFonts w:hint="eastAsia"/>
                <w:color w:val="000000" w:themeColor="text1"/>
                <w:sz w:val="28"/>
                <w:szCs w:val="28"/>
                <w:lang w:eastAsia="zh-CN"/>
                <w14:textFill>
                  <w14:solidFill>
                    <w14:schemeClr w14:val="tx1"/>
                  </w14:solidFill>
                </w14:textFill>
              </w:rPr>
              <w:t>管理</w:t>
            </w:r>
            <w:r>
              <w:rPr>
                <w:rFonts w:hint="eastAsia"/>
                <w:color w:val="000000" w:themeColor="text1"/>
                <w:sz w:val="28"/>
                <w:szCs w:val="28"/>
                <w14:textFill>
                  <w14:solidFill>
                    <w14:schemeClr w14:val="tx1"/>
                  </w14:solidFill>
                </w14:textFill>
              </w:rPr>
              <w:t>局、</w:t>
            </w:r>
            <w:bookmarkStart w:id="361" w:name="_GoBack"/>
            <w:bookmarkEnd w:id="361"/>
            <w:r>
              <w:rPr>
                <w:rFonts w:hint="eastAsia"/>
                <w:color w:val="000000" w:themeColor="text1"/>
                <w:sz w:val="28"/>
                <w:szCs w:val="28"/>
                <w14:textFill>
                  <w14:solidFill>
                    <w14:schemeClr w14:val="tx1"/>
                  </w14:solidFill>
                </w14:textFill>
              </w:rPr>
              <w:t>市市场监管局、有关专业专家，专业应急救援队、事故单位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04" w:type="dxa"/>
            <w:vAlign w:val="center"/>
          </w:tcPr>
          <w:p>
            <w:pPr>
              <w:pStyle w:val="26"/>
              <w:numPr>
                <w:ilvl w:val="0"/>
                <w:numId w:val="0"/>
              </w:numPr>
              <w:ind w:leftChars="0"/>
              <w:jc w:val="center"/>
              <w:rPr>
                <w:rFonts w:hint="eastAsia" w:eastAsia="仿宋"/>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伤员抢救组</w:t>
            </w:r>
          </w:p>
        </w:tc>
        <w:tc>
          <w:tcPr>
            <w:tcW w:w="5387"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根据伤害或中毒的特点及时提出救护方案并组织实施。负责在现场附近的安全区域内设立临时医疗救护点，对受伤人员进行紧急救治并护送重伤人员至医院进一步治疗。必要时抽调相关医疗专家指导医疗救护工作。</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市卫生健康委</w:t>
            </w:r>
          </w:p>
        </w:tc>
        <w:tc>
          <w:tcPr>
            <w:tcW w:w="4370"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市健康委急救中心或指定的具有相应能力的医院、事故发生地医疗机构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04" w:type="dxa"/>
            <w:vAlign w:val="center"/>
          </w:tcPr>
          <w:p>
            <w:pPr>
              <w:pStyle w:val="26"/>
              <w:numPr>
                <w:ilvl w:val="0"/>
                <w:numId w:val="0"/>
              </w:numPr>
              <w:ind w:leftChars="0"/>
              <w:jc w:val="center"/>
              <w:rPr>
                <w:rFonts w:hint="eastAsia" w:eastAsia="仿宋"/>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抢险救援组</w:t>
            </w:r>
          </w:p>
        </w:tc>
        <w:tc>
          <w:tcPr>
            <w:tcW w:w="5387"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负责现场灭火、伤员搜救、设备容器冷却及事故后对被污染区域的清洗消毒等工作、事故车辆等交通工具的迁移工作</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市</w:t>
            </w:r>
            <w:r>
              <w:rPr>
                <w:rFonts w:hint="eastAsia"/>
                <w:color w:val="000000" w:themeColor="text1"/>
                <w:sz w:val="28"/>
                <w:szCs w:val="28"/>
                <w14:textFill>
                  <w14:solidFill>
                    <w14:schemeClr w14:val="tx1"/>
                  </w14:solidFill>
                </w14:textFill>
              </w:rPr>
              <w:t>消防救援支队</w:t>
            </w:r>
          </w:p>
        </w:tc>
        <w:tc>
          <w:tcPr>
            <w:tcW w:w="4370"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市消防救援支队、专业应急救援队、市公安局交通警察局、市生态环境局、市城乡建委、市市场监管局、市交通运输局、市城管</w:t>
            </w:r>
            <w:r>
              <w:rPr>
                <w:rFonts w:hint="eastAsia"/>
                <w:color w:val="000000" w:themeColor="text1"/>
                <w:sz w:val="28"/>
                <w:szCs w:val="28"/>
                <w:lang w:eastAsia="zh-CN"/>
                <w14:textFill>
                  <w14:solidFill>
                    <w14:schemeClr w14:val="tx1"/>
                  </w14:solidFill>
                </w14:textFill>
              </w:rPr>
              <w:t>局</w:t>
            </w:r>
            <w:r>
              <w:rPr>
                <w:rFonts w:hint="eastAsia"/>
                <w:color w:val="000000" w:themeColor="text1"/>
                <w:sz w:val="28"/>
                <w:szCs w:val="28"/>
                <w14:textFill>
                  <w14:solidFill>
                    <w14:schemeClr w14:val="tx1"/>
                  </w14:solidFill>
                </w14:textFill>
              </w:rPr>
              <w:t>、事故发生地政府部门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04" w:type="dxa"/>
            <w:vAlign w:val="center"/>
          </w:tcPr>
          <w:p>
            <w:pPr>
              <w:pStyle w:val="26"/>
              <w:numPr>
                <w:ilvl w:val="0"/>
                <w:numId w:val="0"/>
              </w:numPr>
              <w:ind w:leftChars="0"/>
              <w:jc w:val="center"/>
              <w:rPr>
                <w:rFonts w:hint="eastAsia" w:eastAsia="仿宋"/>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4</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警戒疏散组</w:t>
            </w:r>
          </w:p>
        </w:tc>
        <w:tc>
          <w:tcPr>
            <w:tcW w:w="5387"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负责布置安全警戒，禁止无关人员和车辆进入危险区域，保护事故现场不遭人为破坏，在人员疏散区域进行治安巡逻，对撤离现场工作区域的人员进行清点。负责对现场及周边人员进行防护指导、人员疏散、周围物资转移等工作。</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市公安局</w:t>
            </w:r>
          </w:p>
        </w:tc>
        <w:tc>
          <w:tcPr>
            <w:tcW w:w="4370"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市交通运输局、市城管</w:t>
            </w:r>
            <w:r>
              <w:rPr>
                <w:rFonts w:hint="eastAsia"/>
                <w:color w:val="000000" w:themeColor="text1"/>
                <w:sz w:val="28"/>
                <w:szCs w:val="28"/>
                <w:lang w:eastAsia="zh-CN"/>
                <w14:textFill>
                  <w14:solidFill>
                    <w14:schemeClr w14:val="tx1"/>
                  </w14:solidFill>
                </w14:textFill>
              </w:rPr>
              <w:t>局</w:t>
            </w:r>
            <w:r>
              <w:rPr>
                <w:rFonts w:hint="eastAsia"/>
                <w:color w:val="000000" w:themeColor="text1"/>
                <w:sz w:val="28"/>
                <w:szCs w:val="28"/>
                <w14:textFill>
                  <w14:solidFill>
                    <w14:schemeClr w14:val="tx1"/>
                  </w14:solidFill>
                </w14:textFill>
              </w:rPr>
              <w:t>、事故发生地政府部门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04" w:type="dxa"/>
            <w:vAlign w:val="center"/>
          </w:tcPr>
          <w:p>
            <w:pPr>
              <w:pStyle w:val="26"/>
              <w:numPr>
                <w:ilvl w:val="0"/>
                <w:numId w:val="0"/>
              </w:numPr>
              <w:ind w:leftChars="0"/>
              <w:jc w:val="center"/>
              <w:rPr>
                <w:rFonts w:hint="eastAsia" w:eastAsia="仿宋"/>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5</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物资供应组</w:t>
            </w:r>
          </w:p>
        </w:tc>
        <w:tc>
          <w:tcPr>
            <w:tcW w:w="5387"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负责组织抢险抢救物资的供应，组织车辆运送抢险抢救物资。</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市经信局</w:t>
            </w:r>
          </w:p>
        </w:tc>
        <w:tc>
          <w:tcPr>
            <w:tcW w:w="4370"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市交通运输局、市民政局、市城管</w:t>
            </w:r>
            <w:r>
              <w:rPr>
                <w:rFonts w:hint="eastAsia"/>
                <w:color w:val="000000" w:themeColor="text1"/>
                <w:sz w:val="28"/>
                <w:szCs w:val="28"/>
                <w:lang w:eastAsia="zh-CN"/>
                <w14:textFill>
                  <w14:solidFill>
                    <w14:schemeClr w14:val="tx1"/>
                  </w14:solidFill>
                </w14:textFill>
              </w:rPr>
              <w:t>局</w:t>
            </w:r>
            <w:r>
              <w:rPr>
                <w:rFonts w:hint="eastAsia"/>
                <w:color w:val="000000" w:themeColor="text1"/>
                <w:sz w:val="28"/>
                <w:szCs w:val="28"/>
                <w14:textFill>
                  <w14:solidFill>
                    <w14:schemeClr w14:val="tx1"/>
                  </w14:solidFill>
                </w14:textFill>
              </w:rPr>
              <w:t>、市供电公司等、事故发生地政府部门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04" w:type="dxa"/>
            <w:vAlign w:val="center"/>
          </w:tcPr>
          <w:p>
            <w:pPr>
              <w:pStyle w:val="26"/>
              <w:numPr>
                <w:ilvl w:val="0"/>
                <w:numId w:val="0"/>
              </w:numPr>
              <w:ind w:leftChars="0"/>
              <w:jc w:val="center"/>
              <w:rPr>
                <w:rFonts w:hint="eastAsia" w:eastAsia="仿宋"/>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6</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环境保护组</w:t>
            </w:r>
          </w:p>
        </w:tc>
        <w:tc>
          <w:tcPr>
            <w:tcW w:w="5387"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负责对大气、水体、土壤等进行环境即时监测，确定危险物质的成分及浓度，确定污染区域范围，对事故造成的环境影响进行评估，制定环境修复方案并组织实施。</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市生态环境局</w:t>
            </w:r>
          </w:p>
        </w:tc>
        <w:tc>
          <w:tcPr>
            <w:tcW w:w="4370"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相关环境监测机构、市环科院、</w:t>
            </w:r>
            <w:r>
              <w:rPr>
                <w:rFonts w:hint="eastAsia"/>
                <w:color w:val="000000" w:themeColor="text1"/>
                <w:sz w:val="28"/>
                <w:szCs w:val="28"/>
                <w:lang w:eastAsia="zh-CN"/>
                <w14:textFill>
                  <w14:solidFill>
                    <w14:schemeClr w14:val="tx1"/>
                  </w14:solidFill>
                </w14:textFill>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04" w:type="dxa"/>
            <w:vAlign w:val="center"/>
          </w:tcPr>
          <w:p>
            <w:pPr>
              <w:pStyle w:val="26"/>
              <w:numPr>
                <w:ilvl w:val="0"/>
                <w:numId w:val="0"/>
              </w:numPr>
              <w:ind w:leftChars="0"/>
              <w:jc w:val="center"/>
              <w:rPr>
                <w:rFonts w:hint="eastAsia" w:eastAsia="仿宋"/>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7</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新闻舆论组</w:t>
            </w:r>
          </w:p>
        </w:tc>
        <w:tc>
          <w:tcPr>
            <w:tcW w:w="5387"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负责媒体接待以及对外发布事故和救援信息</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市委宣传部</w:t>
            </w:r>
          </w:p>
        </w:tc>
        <w:tc>
          <w:tcPr>
            <w:tcW w:w="4370"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市应急</w:t>
            </w:r>
            <w:r>
              <w:rPr>
                <w:rFonts w:hint="eastAsia"/>
                <w:color w:val="000000" w:themeColor="text1"/>
                <w:sz w:val="28"/>
                <w:szCs w:val="28"/>
                <w:lang w:val="en-US" w:eastAsia="zh-CN"/>
                <w14:textFill>
                  <w14:solidFill>
                    <w14:schemeClr w14:val="tx1"/>
                  </w14:solidFill>
                </w14:textFill>
              </w:rPr>
              <w:t>管理</w:t>
            </w:r>
            <w:r>
              <w:rPr>
                <w:rFonts w:hint="eastAsia"/>
                <w:color w:val="000000" w:themeColor="text1"/>
                <w:sz w:val="28"/>
                <w:szCs w:val="28"/>
                <w14:textFill>
                  <w14:solidFill>
                    <w14:schemeClr w14:val="tx1"/>
                  </w14:solidFill>
                </w14:textFill>
              </w:rPr>
              <w:t>局、市公安局、事故发生地政府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04" w:type="dxa"/>
            <w:vAlign w:val="center"/>
          </w:tcPr>
          <w:p>
            <w:pPr>
              <w:pStyle w:val="26"/>
              <w:numPr>
                <w:ilvl w:val="0"/>
                <w:numId w:val="0"/>
              </w:numPr>
              <w:ind w:leftChars="0"/>
              <w:jc w:val="center"/>
              <w:rPr>
                <w:rFonts w:hint="eastAsia" w:eastAsia="仿宋"/>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8</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专家咨询组</w:t>
            </w:r>
          </w:p>
        </w:tc>
        <w:tc>
          <w:tcPr>
            <w:tcW w:w="5387"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负责对事故应急救援提出方案和安全措施，为现场指挥救援工作提供技术咨询。</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市应急</w:t>
            </w:r>
            <w:r>
              <w:rPr>
                <w:rFonts w:hint="eastAsia"/>
                <w:color w:val="000000" w:themeColor="text1"/>
                <w:sz w:val="28"/>
                <w:szCs w:val="28"/>
                <w:lang w:eastAsia="zh-CN"/>
                <w14:textFill>
                  <w14:solidFill>
                    <w14:schemeClr w14:val="tx1"/>
                  </w14:solidFill>
                </w14:textFill>
              </w:rPr>
              <w:t>管理</w:t>
            </w:r>
            <w:r>
              <w:rPr>
                <w:rFonts w:hint="eastAsia"/>
                <w:color w:val="000000" w:themeColor="text1"/>
                <w:sz w:val="28"/>
                <w:szCs w:val="28"/>
                <w14:textFill>
                  <w14:solidFill>
                    <w14:schemeClr w14:val="tx1"/>
                  </w14:solidFill>
                </w14:textFill>
              </w:rPr>
              <w:t>局</w:t>
            </w:r>
          </w:p>
        </w:tc>
        <w:tc>
          <w:tcPr>
            <w:tcW w:w="4370"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市公安局、市气象局、市生态环境局</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事故发生地政府部门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04" w:type="dxa"/>
            <w:vAlign w:val="center"/>
          </w:tcPr>
          <w:p>
            <w:pPr>
              <w:pStyle w:val="26"/>
              <w:numPr>
                <w:ilvl w:val="0"/>
                <w:numId w:val="0"/>
              </w:numPr>
              <w:ind w:leftChars="0"/>
              <w:jc w:val="center"/>
              <w:rPr>
                <w:rFonts w:hint="eastAsia" w:eastAsia="仿宋"/>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9</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善后工作组</w:t>
            </w:r>
          </w:p>
        </w:tc>
        <w:tc>
          <w:tcPr>
            <w:tcW w:w="5387"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核实伤亡人员数量、姓名、身份等基本情况，并及时上报；负责受灾人员的安置，遇难人员及家属的安抚、抚恤、赔偿等善后处理工作。</w:t>
            </w:r>
          </w:p>
        </w:tc>
        <w:tc>
          <w:tcPr>
            <w:tcW w:w="1701"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事故发生地县（市）政府</w:t>
            </w:r>
          </w:p>
        </w:tc>
        <w:tc>
          <w:tcPr>
            <w:tcW w:w="4370" w:type="dxa"/>
            <w:vAlign w:val="center"/>
          </w:tcPr>
          <w:p>
            <w:pPr>
              <w:ind w:firstLine="0" w:firstLineChars="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当地区县（市）政府、市民政局、</w:t>
            </w:r>
            <w:r>
              <w:rPr>
                <w:rFonts w:hint="eastAsia"/>
                <w:color w:val="000000" w:themeColor="text1"/>
                <w:sz w:val="28"/>
                <w:szCs w:val="28"/>
                <w:lang w:eastAsia="zh-CN"/>
                <w14:textFill>
                  <w14:solidFill>
                    <w14:schemeClr w14:val="tx1"/>
                  </w14:solidFill>
                </w14:textFill>
              </w:rPr>
              <w:t>市</w:t>
            </w:r>
            <w:r>
              <w:rPr>
                <w:rFonts w:hint="eastAsia"/>
                <w:color w:val="000000" w:themeColor="text1"/>
                <w:sz w:val="28"/>
                <w:szCs w:val="28"/>
                <w14:textFill>
                  <w14:solidFill>
                    <w14:schemeClr w14:val="tx1"/>
                  </w14:solidFill>
                </w14:textFill>
              </w:rPr>
              <w:t>公安局、市</w:t>
            </w:r>
            <w:r>
              <w:rPr>
                <w:rFonts w:hint="eastAsia"/>
                <w:color w:val="000000" w:themeColor="text1"/>
                <w:sz w:val="28"/>
                <w:szCs w:val="28"/>
                <w:lang w:eastAsia="zh-CN"/>
                <w14:textFill>
                  <w14:solidFill>
                    <w14:schemeClr w14:val="tx1"/>
                  </w14:solidFill>
                </w14:textFill>
              </w:rPr>
              <w:t>卫健</w:t>
            </w:r>
            <w:r>
              <w:rPr>
                <w:rFonts w:hint="eastAsia"/>
                <w:color w:val="000000" w:themeColor="text1"/>
                <w:sz w:val="28"/>
                <w:szCs w:val="28"/>
                <w14:textFill>
                  <w14:solidFill>
                    <w14:schemeClr w14:val="tx1"/>
                  </w14:solidFill>
                </w14:textFill>
              </w:rPr>
              <w:t>委</w:t>
            </w:r>
          </w:p>
        </w:tc>
      </w:tr>
    </w:tbl>
    <w:p>
      <w:pPr>
        <w:ind w:firstLine="600"/>
        <w:rPr>
          <w:color w:val="000000" w:themeColor="text1"/>
          <w:sz w:val="32"/>
          <w:szCs w:val="24"/>
          <w14:textFill>
            <w14:solidFill>
              <w14:schemeClr w14:val="tx1"/>
            </w14:solidFill>
          </w14:textFill>
        </w:rPr>
        <w:sectPr>
          <w:pgSz w:w="16838" w:h="11906" w:orient="landscape"/>
          <w:pgMar w:top="1797" w:right="1440" w:bottom="1797" w:left="1440" w:header="851" w:footer="992" w:gutter="0"/>
          <w:cols w:space="425" w:num="1"/>
          <w:docGrid w:type="lines" w:linePitch="312" w:charSpace="0"/>
        </w:sectPr>
      </w:pPr>
    </w:p>
    <w:p>
      <w:pPr>
        <w:pStyle w:val="4"/>
        <w:rPr>
          <w:color w:val="000000" w:themeColor="text1"/>
          <w:sz w:val="32"/>
          <w:szCs w:val="36"/>
          <w14:textFill>
            <w14:solidFill>
              <w14:schemeClr w14:val="tx1"/>
            </w14:solidFill>
          </w14:textFill>
        </w:rPr>
      </w:pPr>
      <w:bookmarkStart w:id="340" w:name="_Toc1294967450"/>
      <w:bookmarkStart w:id="341" w:name="_Toc18818295"/>
      <w:bookmarkStart w:id="342" w:name="_Toc1364769434"/>
      <w:bookmarkStart w:id="343" w:name="_Toc698640497"/>
      <w:bookmarkStart w:id="344" w:name="_Toc2132747960"/>
      <w:bookmarkStart w:id="345" w:name="_Toc1029310665"/>
      <w:bookmarkStart w:id="346" w:name="_Toc927222777"/>
      <w:r>
        <w:rPr>
          <w:color w:val="000000" w:themeColor="text1"/>
          <w:sz w:val="32"/>
          <w:szCs w:val="36"/>
          <w14:textFill>
            <w14:solidFill>
              <w14:schemeClr w14:val="tx1"/>
            </w14:solidFill>
          </w14:textFill>
        </w:rPr>
        <w:t xml:space="preserve">附件 </w:t>
      </w:r>
      <w:r>
        <w:rPr>
          <w:rFonts w:hint="eastAsia"/>
          <w:color w:val="000000" w:themeColor="text1"/>
          <w:sz w:val="32"/>
          <w:szCs w:val="36"/>
          <w:lang w:val="en-US" w:eastAsia="zh-CN"/>
          <w14:textFill>
            <w14:solidFill>
              <w14:schemeClr w14:val="tx1"/>
            </w14:solidFill>
          </w14:textFill>
        </w:rPr>
        <w:t>3</w:t>
      </w:r>
      <w:r>
        <w:rPr>
          <w:color w:val="000000" w:themeColor="text1"/>
          <w:sz w:val="32"/>
          <w:szCs w:val="36"/>
          <w14:textFill>
            <w14:solidFill>
              <w14:schemeClr w14:val="tx1"/>
            </w14:solidFill>
          </w14:textFill>
        </w:rPr>
        <w:t>：杭州市危险化学品事故应急指挥部专家组名单</w:t>
      </w:r>
      <w:bookmarkEnd w:id="340"/>
      <w:bookmarkEnd w:id="341"/>
      <w:bookmarkEnd w:id="342"/>
      <w:bookmarkEnd w:id="343"/>
      <w:bookmarkEnd w:id="344"/>
      <w:bookmarkEnd w:id="345"/>
      <w:bookmarkEnd w:id="346"/>
    </w:p>
    <w:tbl>
      <w:tblPr>
        <w:tblStyle w:val="16"/>
        <w:tblW w:w="8679" w:type="dxa"/>
        <w:jc w:val="center"/>
        <w:tblLayout w:type="fixed"/>
        <w:tblCellMar>
          <w:top w:w="0" w:type="dxa"/>
          <w:left w:w="108" w:type="dxa"/>
          <w:bottom w:w="0" w:type="dxa"/>
          <w:right w:w="108" w:type="dxa"/>
        </w:tblCellMar>
      </w:tblPr>
      <w:tblGrid>
        <w:gridCol w:w="1633"/>
        <w:gridCol w:w="4989"/>
        <w:gridCol w:w="2057"/>
      </w:tblGrid>
      <w:tr>
        <w:tblPrEx>
          <w:tblCellMar>
            <w:top w:w="0" w:type="dxa"/>
            <w:left w:w="108" w:type="dxa"/>
            <w:bottom w:w="0" w:type="dxa"/>
            <w:right w:w="108" w:type="dxa"/>
          </w:tblCellMar>
        </w:tblPrEx>
        <w:trPr>
          <w:cantSplit/>
          <w:trHeight w:val="649" w:hRule="atLeast"/>
          <w:jc w:val="center"/>
        </w:trPr>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eastAsia="仿宋_GB2312" w:cs="宋体"/>
                <w:b/>
                <w:bCs/>
                <w:color w:val="000000" w:themeColor="text1"/>
                <w:kern w:val="0"/>
                <w:sz w:val="22"/>
                <w:szCs w:val="22"/>
                <w14:textFill>
                  <w14:solidFill>
                    <w14:schemeClr w14:val="tx1"/>
                  </w14:solidFill>
                </w14:textFill>
              </w:rPr>
            </w:pPr>
            <w:r>
              <w:rPr>
                <w:rFonts w:hint="eastAsia" w:ascii="仿宋_GB2312" w:hAnsi="宋体" w:eastAsia="仿宋_GB2312" w:cs="宋体"/>
                <w:b/>
                <w:bCs/>
                <w:color w:val="000000" w:themeColor="text1"/>
                <w:kern w:val="0"/>
                <w:sz w:val="22"/>
                <w:szCs w:val="22"/>
                <w14:textFill>
                  <w14:solidFill>
                    <w14:schemeClr w14:val="tx1"/>
                  </w14:solidFill>
                </w14:textFill>
              </w:rPr>
              <w:t>姓名</w:t>
            </w:r>
          </w:p>
        </w:tc>
        <w:tc>
          <w:tcPr>
            <w:tcW w:w="4989"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eastAsia="仿宋_GB2312" w:cs="宋体"/>
                <w:b/>
                <w:bCs/>
                <w:color w:val="000000" w:themeColor="text1"/>
                <w:kern w:val="0"/>
                <w:sz w:val="22"/>
                <w:szCs w:val="22"/>
                <w14:textFill>
                  <w14:solidFill>
                    <w14:schemeClr w14:val="tx1"/>
                  </w14:solidFill>
                </w14:textFill>
              </w:rPr>
            </w:pPr>
            <w:r>
              <w:rPr>
                <w:rFonts w:hint="eastAsia" w:ascii="仿宋_GB2312" w:hAnsi="宋体" w:eastAsia="仿宋_GB2312" w:cs="宋体"/>
                <w:b/>
                <w:bCs/>
                <w:color w:val="000000" w:themeColor="text1"/>
                <w:kern w:val="0"/>
                <w:sz w:val="22"/>
                <w:szCs w:val="22"/>
                <w14:textFill>
                  <w14:solidFill>
                    <w14:schemeClr w14:val="tx1"/>
                  </w14:solidFill>
                </w14:textFill>
              </w:rPr>
              <w:t>工作单位</w:t>
            </w:r>
          </w:p>
        </w:tc>
        <w:tc>
          <w:tcPr>
            <w:tcW w:w="2057"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eastAsia="仿宋_GB2312" w:cs="宋体"/>
                <w:b/>
                <w:bCs/>
                <w:color w:val="000000" w:themeColor="text1"/>
                <w:kern w:val="0"/>
                <w:sz w:val="22"/>
                <w:szCs w:val="22"/>
                <w14:textFill>
                  <w14:solidFill>
                    <w14:schemeClr w14:val="tx1"/>
                  </w14:solidFill>
                </w14:textFill>
              </w:rPr>
            </w:pPr>
            <w:r>
              <w:rPr>
                <w:rFonts w:hint="eastAsia" w:ascii="仿宋_GB2312" w:hAnsi="宋体" w:eastAsia="仿宋_GB2312" w:cs="宋体"/>
                <w:b/>
                <w:bCs/>
                <w:color w:val="000000" w:themeColor="text1"/>
                <w:kern w:val="0"/>
                <w:sz w:val="22"/>
                <w:szCs w:val="22"/>
                <w14:textFill>
                  <w14:solidFill>
                    <w14:schemeClr w14:val="tx1"/>
                  </w14:solidFill>
                </w14:textFill>
              </w:rPr>
              <w:t>专长</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冉以发</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中国石油浙江销售分公司安全质量环保（设备）处</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油气储运工程</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徐存忠</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浙江天成工程设计有限公司</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总图设计与运输</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楼荣华</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浙江中一寰球安全科技有限公司</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安全评价</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徐林梅</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杭州道宇检测技术有限公司</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精细化工</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于巨青</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浙江中一寰球安全科技有限公司</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化工工艺</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相继园</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浙江天为企业评价咨询有限公司</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化学工程</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胡永强</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杭州电化集团有限公司</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化学工程与工艺</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张雪夫</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杭州安全生产科学技术有限公司</w:t>
            </w:r>
            <w:r>
              <w:rPr>
                <w:rFonts w:hint="eastAsia" w:ascii="仿宋_GB2312" w:hAnsi="宋体" w:eastAsia="仿宋_GB2312" w:cs="宋体"/>
                <w:color w:val="000000" w:themeColor="text1"/>
                <w:kern w:val="0"/>
                <w:sz w:val="22"/>
                <w14:textFill>
                  <w14:solidFill>
                    <w14:schemeClr w14:val="tx1"/>
                  </w14:solidFill>
                </w14:textFill>
              </w:rPr>
              <w:tab/>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安全评价</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王建林</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浙江传化股份有限公司安全环保部</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安全管理</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徐利红</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浙江新化化工股份有限公司</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安全管理</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张连春</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浙江杭州鑫富药业股份有限公司</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安全管理</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hint="eastAsia" w:ascii="仿宋_GB2312" w:hAnsi="宋体" w:eastAsia="仿宋_GB2312" w:cs="宋体"/>
                <w:color w:val="000000" w:themeColor="text1"/>
                <w:kern w:val="0"/>
                <w:sz w:val="22"/>
                <w:szCs w:val="22"/>
                <w:lang w:eastAsia="zh-CN"/>
                <w14:textFill>
                  <w14:solidFill>
                    <w14:schemeClr w14:val="tx1"/>
                  </w14:solidFill>
                </w14:textFill>
              </w:rPr>
            </w:pPr>
            <w:r>
              <w:rPr>
                <w:rFonts w:hint="eastAsia" w:ascii="仿宋_GB2312" w:hAnsi="宋体" w:eastAsia="仿宋_GB2312" w:cs="宋体"/>
                <w:color w:val="000000" w:themeColor="text1"/>
                <w:kern w:val="0"/>
                <w:sz w:val="22"/>
                <w:szCs w:val="22"/>
                <w:lang w:eastAsia="zh-CN"/>
                <w14:textFill>
                  <w14:solidFill>
                    <w14:schemeClr w14:val="tx1"/>
                  </w14:solidFill>
                </w14:textFill>
              </w:rPr>
              <w:t>袁永强</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lang w:eastAsia="zh-CN"/>
                <w14:textFill>
                  <w14:solidFill>
                    <w14:schemeClr w14:val="tx1"/>
                  </w14:solidFill>
                </w14:textFill>
              </w:rPr>
              <w:t>百合花集团股份</w:t>
            </w:r>
            <w:r>
              <w:rPr>
                <w:rFonts w:hint="eastAsia" w:ascii="仿宋_GB2312" w:hAnsi="宋体" w:eastAsia="仿宋_GB2312" w:cs="宋体"/>
                <w:color w:val="000000" w:themeColor="text1"/>
                <w:kern w:val="0"/>
                <w:sz w:val="22"/>
                <w:szCs w:val="22"/>
                <w14:textFill>
                  <w14:solidFill>
                    <w14:schemeClr w14:val="tx1"/>
                  </w14:solidFill>
                </w14:textFill>
              </w:rPr>
              <w:t>有限公司</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安全管理</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陈  琪</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杭州三泰工业气体设备有限公司</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机械制造工艺及</w:t>
            </w:r>
            <w:r>
              <w:rPr>
                <w:rFonts w:hint="eastAsia" w:ascii="仿宋_GB2312" w:hAnsi="宋体" w:eastAsia="仿宋_GB2312" w:cs="宋体"/>
                <w:color w:val="000000" w:themeColor="text1"/>
                <w:kern w:val="0"/>
                <w:sz w:val="22"/>
                <w:szCs w:val="22"/>
                <w14:textFill>
                  <w14:solidFill>
                    <w14:schemeClr w14:val="tx1"/>
                  </w14:solidFill>
                </w14:textFill>
              </w:rPr>
              <w:br w:type="textWrapping"/>
            </w:r>
            <w:r>
              <w:rPr>
                <w:rFonts w:hint="eastAsia" w:ascii="仿宋_GB2312" w:hAnsi="宋体" w:eastAsia="仿宋_GB2312" w:cs="宋体"/>
                <w:color w:val="000000" w:themeColor="text1"/>
                <w:kern w:val="0"/>
                <w:sz w:val="22"/>
                <w:szCs w:val="22"/>
                <w14:textFill>
                  <w14:solidFill>
                    <w14:schemeClr w14:val="tx1"/>
                  </w14:solidFill>
                </w14:textFill>
              </w:rPr>
              <w:t>设备</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孙振波</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浙江建业化工股份有限公司</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化工/安全工程</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蓝福本</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浙江泰鸽安全科技有限公司</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化工机械</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周学志</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浙江泰鸽安全科技有限公司</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基本有机化工</w:t>
            </w:r>
          </w:p>
        </w:tc>
      </w:tr>
      <w:tr>
        <w:tblPrEx>
          <w:tblCellMar>
            <w:top w:w="0" w:type="dxa"/>
            <w:left w:w="108" w:type="dxa"/>
            <w:bottom w:w="0" w:type="dxa"/>
            <w:right w:w="108" w:type="dxa"/>
          </w:tblCellMar>
        </w:tblPrEx>
        <w:trPr>
          <w:cantSplit/>
          <w:trHeight w:val="624" w:hRule="atLeast"/>
          <w:jc w:val="center"/>
        </w:trPr>
        <w:tc>
          <w:tcPr>
            <w:tcW w:w="1633" w:type="dxa"/>
            <w:tcBorders>
              <w:top w:val="nil"/>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赵晓政</w:t>
            </w:r>
          </w:p>
        </w:tc>
        <w:tc>
          <w:tcPr>
            <w:tcW w:w="4989"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浙江工程设计有限公司</w:t>
            </w:r>
          </w:p>
        </w:tc>
        <w:tc>
          <w:tcPr>
            <w:tcW w:w="2057" w:type="dxa"/>
            <w:tcBorders>
              <w:top w:val="nil"/>
              <w:left w:val="nil"/>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化学工程</w:t>
            </w:r>
          </w:p>
        </w:tc>
      </w:tr>
      <w:tr>
        <w:tblPrEx>
          <w:tblCellMar>
            <w:top w:w="0" w:type="dxa"/>
            <w:left w:w="108" w:type="dxa"/>
            <w:bottom w:w="0" w:type="dxa"/>
            <w:right w:w="108" w:type="dxa"/>
          </w:tblCellMar>
        </w:tblPrEx>
        <w:trPr>
          <w:cantSplit/>
          <w:trHeight w:val="624" w:hRule="atLeast"/>
          <w:jc w:val="center"/>
        </w:trPr>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曹寄梅</w:t>
            </w:r>
          </w:p>
        </w:tc>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浙江省</w:t>
            </w:r>
            <w:r>
              <w:rPr>
                <w:rFonts w:hint="eastAsia" w:ascii="仿宋_GB2312" w:hAnsi="宋体" w:eastAsia="仿宋_GB2312" w:cs="宋体"/>
                <w:color w:val="000000" w:themeColor="text1"/>
                <w:kern w:val="0"/>
                <w:sz w:val="22"/>
                <w:szCs w:val="22"/>
                <w:lang w:eastAsia="zh-CN"/>
                <w14:textFill>
                  <w14:solidFill>
                    <w14:schemeClr w14:val="tx1"/>
                  </w14:solidFill>
                </w14:textFill>
              </w:rPr>
              <w:t>应急管理</w:t>
            </w:r>
            <w:r>
              <w:rPr>
                <w:rFonts w:hint="eastAsia" w:ascii="仿宋_GB2312" w:hAnsi="宋体" w:eastAsia="仿宋_GB2312" w:cs="宋体"/>
                <w:color w:val="000000" w:themeColor="text1"/>
                <w:kern w:val="0"/>
                <w:sz w:val="22"/>
                <w:szCs w:val="22"/>
                <w14:textFill>
                  <w14:solidFill>
                    <w14:schemeClr w14:val="tx1"/>
                  </w14:solidFill>
                </w14:textFill>
              </w:rPr>
              <w:t>科学研究院</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安全评价</w:t>
            </w:r>
          </w:p>
        </w:tc>
      </w:tr>
      <w:tr>
        <w:tblPrEx>
          <w:tblCellMar>
            <w:top w:w="0" w:type="dxa"/>
            <w:left w:w="108" w:type="dxa"/>
            <w:bottom w:w="0" w:type="dxa"/>
            <w:right w:w="108" w:type="dxa"/>
          </w:tblCellMar>
        </w:tblPrEx>
        <w:trPr>
          <w:cantSplit/>
          <w:trHeight w:val="624" w:hRule="atLeast"/>
          <w:jc w:val="center"/>
        </w:trPr>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刘建新</w:t>
            </w:r>
          </w:p>
        </w:tc>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浙江吉华集团股份有限公司</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化学工程</w:t>
            </w:r>
          </w:p>
        </w:tc>
      </w:tr>
      <w:tr>
        <w:tblPrEx>
          <w:tblCellMar>
            <w:top w:w="0" w:type="dxa"/>
            <w:left w:w="108" w:type="dxa"/>
            <w:bottom w:w="0" w:type="dxa"/>
            <w:right w:w="108" w:type="dxa"/>
          </w:tblCellMar>
        </w:tblPrEx>
        <w:trPr>
          <w:cantSplit/>
          <w:trHeight w:val="624" w:hRule="atLeast"/>
          <w:jc w:val="center"/>
        </w:trPr>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hint="eastAsia" w:ascii="仿宋_GB2312" w:hAnsi="宋体" w:eastAsia="仿宋_GB2312" w:cs="宋体"/>
                <w:color w:val="000000" w:themeColor="text1"/>
                <w:kern w:val="0"/>
                <w:sz w:val="22"/>
                <w:szCs w:val="22"/>
                <w:lang w:eastAsia="zh-CN"/>
                <w14:textFill>
                  <w14:solidFill>
                    <w14:schemeClr w14:val="tx1"/>
                  </w14:solidFill>
                </w14:textFill>
              </w:rPr>
            </w:pPr>
            <w:r>
              <w:rPr>
                <w:rFonts w:hint="eastAsia" w:ascii="仿宋_GB2312" w:hAnsi="宋体" w:eastAsia="仿宋_GB2312" w:cs="宋体"/>
                <w:color w:val="000000" w:themeColor="text1"/>
                <w:kern w:val="0"/>
                <w:sz w:val="22"/>
                <w:szCs w:val="22"/>
                <w:lang w:eastAsia="zh-CN"/>
                <w14:textFill>
                  <w14:solidFill>
                    <w14:schemeClr w14:val="tx1"/>
                  </w14:solidFill>
                </w14:textFill>
              </w:rPr>
              <w:t>徐立伟</w:t>
            </w:r>
          </w:p>
        </w:tc>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hint="eastAsia" w:ascii="仿宋_GB2312" w:hAnsi="宋体" w:eastAsia="仿宋_GB2312" w:cs="宋体"/>
                <w:color w:val="000000" w:themeColor="text1"/>
                <w:kern w:val="0"/>
                <w:sz w:val="22"/>
                <w:szCs w:val="22"/>
                <w:lang w:eastAsia="zh-CN"/>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杭州坤晓化工工程技术有限公司</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hint="eastAsia" w:ascii="仿宋_GB2312" w:hAnsi="宋体" w:eastAsia="仿宋_GB2312" w:cs="宋体"/>
                <w:color w:val="000000" w:themeColor="text1"/>
                <w:kern w:val="0"/>
                <w:sz w:val="22"/>
                <w:szCs w:val="22"/>
                <w:lang w:eastAsia="zh-CN"/>
                <w14:textFill>
                  <w14:solidFill>
                    <w14:schemeClr w14:val="tx1"/>
                  </w14:solidFill>
                </w14:textFill>
              </w:rPr>
            </w:pPr>
            <w:r>
              <w:rPr>
                <w:rFonts w:hint="eastAsia" w:ascii="仿宋_GB2312" w:hAnsi="宋体" w:eastAsia="仿宋_GB2312" w:cs="宋体"/>
                <w:color w:val="000000" w:themeColor="text1"/>
                <w:kern w:val="0"/>
                <w:sz w:val="22"/>
                <w:szCs w:val="22"/>
                <w:lang w:eastAsia="zh-CN"/>
                <w14:textFill>
                  <w14:solidFill>
                    <w14:schemeClr w14:val="tx1"/>
                  </w14:solidFill>
                </w14:textFill>
              </w:rPr>
              <w:t>仪表自动化</w:t>
            </w:r>
          </w:p>
        </w:tc>
      </w:tr>
      <w:tr>
        <w:tblPrEx>
          <w:tblCellMar>
            <w:top w:w="0" w:type="dxa"/>
            <w:left w:w="108" w:type="dxa"/>
            <w:bottom w:w="0" w:type="dxa"/>
            <w:right w:w="108" w:type="dxa"/>
          </w:tblCellMar>
        </w:tblPrEx>
        <w:trPr>
          <w:cantSplit/>
          <w:trHeight w:val="624" w:hRule="atLeast"/>
          <w:jc w:val="center"/>
        </w:trPr>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hint="eastAsia" w:ascii="仿宋_GB2312" w:hAnsi="宋体" w:eastAsia="仿宋_GB2312" w:cs="宋体"/>
                <w:color w:val="000000" w:themeColor="text1"/>
                <w:kern w:val="0"/>
                <w:sz w:val="22"/>
                <w:szCs w:val="22"/>
                <w:lang w:eastAsia="zh-CN"/>
                <w14:textFill>
                  <w14:solidFill>
                    <w14:schemeClr w14:val="tx1"/>
                  </w14:solidFill>
                </w14:textFill>
              </w:rPr>
            </w:pPr>
            <w:r>
              <w:rPr>
                <w:rFonts w:hint="eastAsia" w:ascii="仿宋_GB2312" w:hAnsi="宋体" w:eastAsia="仿宋_GB2312" w:cs="宋体"/>
                <w:color w:val="000000" w:themeColor="text1"/>
                <w:kern w:val="0"/>
                <w:sz w:val="22"/>
                <w:szCs w:val="22"/>
                <w:lang w:eastAsia="zh-CN"/>
                <w14:textFill>
                  <w14:solidFill>
                    <w14:schemeClr w14:val="tx1"/>
                  </w14:solidFill>
                </w14:textFill>
              </w:rPr>
              <w:t>吴晓军</w:t>
            </w:r>
          </w:p>
        </w:tc>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hint="eastAsia" w:ascii="仿宋_GB2312" w:hAnsi="宋体" w:eastAsia="仿宋_GB2312" w:cs="宋体"/>
                <w:color w:val="000000" w:themeColor="text1"/>
                <w:kern w:val="0"/>
                <w:sz w:val="22"/>
                <w:szCs w:val="22"/>
                <w:lang w:eastAsia="zh-CN"/>
                <w14:textFill>
                  <w14:solidFill>
                    <w14:schemeClr w14:val="tx1"/>
                  </w14:solidFill>
                </w14:textFill>
              </w:rPr>
            </w:pPr>
            <w:r>
              <w:rPr>
                <w:rFonts w:hint="eastAsia" w:ascii="仿宋_GB2312" w:hAnsi="宋体" w:eastAsia="仿宋_GB2312" w:cs="宋体"/>
                <w:color w:val="000000" w:themeColor="text1"/>
                <w:kern w:val="0"/>
                <w:sz w:val="22"/>
                <w:szCs w:val="22"/>
                <w:lang w:eastAsia="zh-CN"/>
                <w14:textFill>
                  <w14:solidFill>
                    <w14:schemeClr w14:val="tx1"/>
                  </w14:solidFill>
                </w14:textFill>
              </w:rPr>
              <w:t>浙江省天正设计工程有限公司</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hint="eastAsia" w:ascii="仿宋_GB2312" w:hAnsi="宋体" w:eastAsia="仿宋_GB2312" w:cs="宋体"/>
                <w:color w:val="000000" w:themeColor="text1"/>
                <w:kern w:val="0"/>
                <w:sz w:val="22"/>
                <w:szCs w:val="22"/>
                <w:lang w:eastAsia="zh-CN"/>
                <w14:textFill>
                  <w14:solidFill>
                    <w14:schemeClr w14:val="tx1"/>
                  </w14:solidFill>
                </w14:textFill>
              </w:rPr>
            </w:pPr>
            <w:r>
              <w:rPr>
                <w:rFonts w:hint="eastAsia" w:ascii="仿宋_GB2312" w:hAnsi="宋体" w:eastAsia="仿宋_GB2312" w:cs="宋体"/>
                <w:color w:val="000000" w:themeColor="text1"/>
                <w:kern w:val="0"/>
                <w:sz w:val="22"/>
                <w:szCs w:val="22"/>
                <w:lang w:eastAsia="zh-CN"/>
                <w14:textFill>
                  <w14:solidFill>
                    <w14:schemeClr w14:val="tx1"/>
                  </w14:solidFill>
                </w14:textFill>
              </w:rPr>
              <w:t>化工工艺</w:t>
            </w:r>
          </w:p>
        </w:tc>
      </w:tr>
      <w:tr>
        <w:tblPrEx>
          <w:tblCellMar>
            <w:top w:w="0" w:type="dxa"/>
            <w:left w:w="108" w:type="dxa"/>
            <w:bottom w:w="0" w:type="dxa"/>
            <w:right w:w="108" w:type="dxa"/>
          </w:tblCellMar>
        </w:tblPrEx>
        <w:trPr>
          <w:cantSplit/>
          <w:trHeight w:val="624" w:hRule="atLeast"/>
          <w:jc w:val="center"/>
        </w:trPr>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hint="eastAsia" w:ascii="仿宋_GB2312" w:hAnsi="宋体" w:eastAsia="仿宋_GB2312" w:cs="宋体"/>
                <w:color w:val="000000" w:themeColor="text1"/>
                <w:kern w:val="0"/>
                <w:sz w:val="22"/>
                <w:szCs w:val="22"/>
                <w:lang w:eastAsia="zh-CN"/>
                <w14:textFill>
                  <w14:solidFill>
                    <w14:schemeClr w14:val="tx1"/>
                  </w14:solidFill>
                </w14:textFill>
              </w:rPr>
            </w:pPr>
            <w:r>
              <w:rPr>
                <w:rFonts w:hint="eastAsia" w:ascii="仿宋_GB2312" w:hAnsi="宋体" w:eastAsia="仿宋_GB2312" w:cs="宋体"/>
                <w:color w:val="000000" w:themeColor="text1"/>
                <w:kern w:val="0"/>
                <w:sz w:val="22"/>
                <w:szCs w:val="22"/>
                <w:lang w:eastAsia="zh-CN"/>
                <w14:textFill>
                  <w14:solidFill>
                    <w14:schemeClr w14:val="tx1"/>
                  </w14:solidFill>
                </w14:textFill>
              </w:rPr>
              <w:t>应海源</w:t>
            </w:r>
          </w:p>
        </w:tc>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hint="eastAsia" w:ascii="仿宋_GB2312" w:hAnsi="宋体" w:eastAsia="仿宋_GB2312" w:cs="宋体"/>
                <w:color w:val="000000" w:themeColor="text1"/>
                <w:kern w:val="0"/>
                <w:sz w:val="22"/>
                <w:szCs w:val="22"/>
                <w:lang w:eastAsia="zh-CN"/>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杭州安全生产科学技术有限公司</w:t>
            </w:r>
            <w:r>
              <w:rPr>
                <w:rFonts w:hint="eastAsia" w:ascii="仿宋_GB2312" w:hAnsi="宋体" w:eastAsia="仿宋_GB2312" w:cs="宋体"/>
                <w:color w:val="000000" w:themeColor="text1"/>
                <w:kern w:val="0"/>
                <w:sz w:val="22"/>
                <w14:textFill>
                  <w14:solidFill>
                    <w14:schemeClr w14:val="tx1"/>
                  </w14:solidFill>
                </w14:textFill>
              </w:rPr>
              <w:tab/>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hint="eastAsia" w:ascii="仿宋_GB2312" w:hAnsi="宋体" w:eastAsia="仿宋_GB2312" w:cs="宋体"/>
                <w:color w:val="000000" w:themeColor="text1"/>
                <w:kern w:val="0"/>
                <w:sz w:val="22"/>
                <w:szCs w:val="22"/>
                <w:lang w:eastAsia="zh-CN"/>
                <w14:textFill>
                  <w14:solidFill>
                    <w14:schemeClr w14:val="tx1"/>
                  </w14:solidFill>
                </w14:textFill>
              </w:rPr>
            </w:pPr>
            <w:r>
              <w:rPr>
                <w:rFonts w:hint="eastAsia" w:ascii="仿宋_GB2312" w:hAnsi="宋体" w:eastAsia="仿宋_GB2312" w:cs="宋体"/>
                <w:color w:val="000000" w:themeColor="text1"/>
                <w:kern w:val="0"/>
                <w:sz w:val="22"/>
                <w:szCs w:val="22"/>
                <w:lang w:eastAsia="zh-CN"/>
                <w14:textFill>
                  <w14:solidFill>
                    <w14:schemeClr w14:val="tx1"/>
                  </w14:solidFill>
                </w14:textFill>
              </w:rPr>
              <w:t>安全评价</w:t>
            </w:r>
          </w:p>
        </w:tc>
      </w:tr>
    </w:tbl>
    <w:p>
      <w:pPr>
        <w:ind w:firstLine="600"/>
        <w:rPr>
          <w:color w:val="000000" w:themeColor="text1"/>
          <w:sz w:val="32"/>
          <w:szCs w:val="24"/>
          <w14:textFill>
            <w14:solidFill>
              <w14:schemeClr w14:val="tx1"/>
            </w14:solidFill>
          </w14:textFill>
        </w:rPr>
      </w:pPr>
    </w:p>
    <w:p>
      <w:pPr>
        <w:pStyle w:val="4"/>
        <w:rPr>
          <w:color w:val="000000" w:themeColor="text1"/>
          <w:sz w:val="32"/>
          <w:szCs w:val="36"/>
          <w14:textFill>
            <w14:solidFill>
              <w14:schemeClr w14:val="tx1"/>
            </w14:solidFill>
          </w14:textFill>
        </w:rPr>
      </w:pPr>
    </w:p>
    <w:p>
      <w:pPr>
        <w:sectPr>
          <w:pgSz w:w="11906" w:h="16838"/>
          <w:pgMar w:top="1440" w:right="1800" w:bottom="1440" w:left="1800" w:header="851" w:footer="992" w:gutter="0"/>
          <w:cols w:space="425" w:num="1"/>
          <w:docGrid w:type="lines" w:linePitch="312" w:charSpace="0"/>
        </w:sectPr>
      </w:pPr>
    </w:p>
    <w:p>
      <w:pPr>
        <w:pStyle w:val="4"/>
        <w:rPr>
          <w:color w:val="000000" w:themeColor="text1"/>
          <w:sz w:val="32"/>
          <w:szCs w:val="36"/>
          <w14:textFill>
            <w14:solidFill>
              <w14:schemeClr w14:val="tx1"/>
            </w14:solidFill>
          </w14:textFill>
        </w:rPr>
      </w:pPr>
      <w:bookmarkStart w:id="347" w:name="_Toc18818296"/>
      <w:bookmarkStart w:id="348" w:name="_Toc384482386"/>
      <w:bookmarkStart w:id="349" w:name="_Toc2012562546"/>
      <w:bookmarkStart w:id="350" w:name="_Toc987817123"/>
      <w:bookmarkStart w:id="351" w:name="_Toc1434364202"/>
      <w:bookmarkStart w:id="352" w:name="_Toc1155139999"/>
      <w:bookmarkStart w:id="353" w:name="_Toc1514885712"/>
      <w:r>
        <w:rPr>
          <w:color w:val="000000" w:themeColor="text1"/>
          <w:sz w:val="32"/>
          <w:szCs w:val="36"/>
          <w14:textFill>
            <w14:solidFill>
              <w14:schemeClr w14:val="tx1"/>
            </w14:solidFill>
          </w14:textFill>
        </w:rPr>
        <w:t xml:space="preserve">附件 </w:t>
      </w:r>
      <w:r>
        <w:rPr>
          <w:rFonts w:hint="eastAsia"/>
          <w:color w:val="000000" w:themeColor="text1"/>
          <w:sz w:val="32"/>
          <w:szCs w:val="36"/>
          <w:lang w:val="en-US" w:eastAsia="zh-CN"/>
          <w14:textFill>
            <w14:solidFill>
              <w14:schemeClr w14:val="tx1"/>
            </w14:solidFill>
          </w14:textFill>
        </w:rPr>
        <w:t>4</w:t>
      </w:r>
      <w:r>
        <w:rPr>
          <w:color w:val="000000" w:themeColor="text1"/>
          <w:sz w:val="32"/>
          <w:szCs w:val="36"/>
          <w14:textFill>
            <w14:solidFill>
              <w14:schemeClr w14:val="tx1"/>
            </w14:solidFill>
          </w14:textFill>
        </w:rPr>
        <w:t>：杭州市危险化学品事故主要应急救援队伍信息表</w:t>
      </w:r>
      <w:bookmarkEnd w:id="347"/>
      <w:bookmarkEnd w:id="348"/>
      <w:bookmarkEnd w:id="349"/>
      <w:bookmarkEnd w:id="350"/>
      <w:bookmarkEnd w:id="351"/>
      <w:bookmarkEnd w:id="352"/>
      <w:bookmarkEnd w:id="353"/>
    </w:p>
    <w:tbl>
      <w:tblPr>
        <w:tblStyle w:val="16"/>
        <w:tblW w:w="9262" w:type="dxa"/>
        <w:tblInd w:w="-3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1992"/>
        <w:gridCol w:w="3675"/>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45" w:type="dxa"/>
            <w:shd w:val="clear" w:color="auto" w:fill="auto"/>
            <w:vAlign w:val="center"/>
          </w:tcPr>
          <w:p>
            <w:pPr>
              <w:widowControl/>
              <w:ind w:firstLine="0" w:firstLineChars="0"/>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队伍名称</w:t>
            </w:r>
          </w:p>
        </w:tc>
        <w:tc>
          <w:tcPr>
            <w:tcW w:w="1992" w:type="dxa"/>
            <w:shd w:val="clear" w:color="auto" w:fill="auto"/>
            <w:vAlign w:val="center"/>
          </w:tcPr>
          <w:p>
            <w:pPr>
              <w:widowControl/>
              <w:ind w:firstLine="0" w:firstLineChars="0"/>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区、县（市）</w:t>
            </w:r>
          </w:p>
        </w:tc>
        <w:tc>
          <w:tcPr>
            <w:tcW w:w="3675" w:type="dxa"/>
            <w:shd w:val="clear" w:color="auto" w:fill="auto"/>
            <w:vAlign w:val="center"/>
          </w:tcPr>
          <w:p>
            <w:pPr>
              <w:widowControl/>
              <w:ind w:firstLine="0" w:firstLineChars="0"/>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地点</w:t>
            </w:r>
          </w:p>
        </w:tc>
        <w:tc>
          <w:tcPr>
            <w:tcW w:w="1450" w:type="dxa"/>
            <w:shd w:val="clear" w:color="auto" w:fill="auto"/>
            <w:vAlign w:val="center"/>
          </w:tcPr>
          <w:p>
            <w:pPr>
              <w:widowControl/>
              <w:ind w:firstLine="0" w:firstLineChars="0"/>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2145" w:type="dxa"/>
            <w:shd w:val="clear" w:color="auto" w:fill="auto"/>
            <w:vAlign w:val="center"/>
          </w:tcPr>
          <w:p>
            <w:pPr>
              <w:widowControl/>
              <w:ind w:firstLine="0" w:firstLineChars="0"/>
              <w:jc w:val="center"/>
              <w:rPr>
                <w:rFonts w:hint="eastAsia" w:ascii="宋体" w:hAnsi="宋体" w:eastAsia="仿宋" w:cs="宋体"/>
                <w:color w:val="000000" w:themeColor="text1"/>
                <w:kern w:val="0"/>
                <w:sz w:val="28"/>
                <w:szCs w:val="28"/>
                <w:lang w:eastAsia="zh-CN"/>
                <w14:textFill>
                  <w14:solidFill>
                    <w14:schemeClr w14:val="tx1"/>
                  </w14:solidFill>
                </w14:textFill>
              </w:rPr>
            </w:pPr>
            <w:r>
              <w:rPr>
                <w:rFonts w:hint="eastAsia" w:ascii="宋体" w:hAnsi="宋体" w:cs="宋体"/>
                <w:color w:val="000000" w:themeColor="text1"/>
                <w:kern w:val="0"/>
                <w:sz w:val="28"/>
                <w:szCs w:val="28"/>
                <w:lang w:eastAsia="zh-CN"/>
                <w14:textFill>
                  <w14:solidFill>
                    <w14:schemeClr w14:val="tx1"/>
                  </w14:solidFill>
                </w14:textFill>
              </w:rPr>
              <w:t>钱塘区危化</w:t>
            </w:r>
            <w:r>
              <w:rPr>
                <w:rFonts w:hint="eastAsia" w:ascii="宋体" w:hAnsi="宋体" w:cs="宋体"/>
                <w:color w:val="000000" w:themeColor="text1"/>
                <w:kern w:val="0"/>
                <w:sz w:val="28"/>
                <w:szCs w:val="28"/>
                <w14:textFill>
                  <w14:solidFill>
                    <w14:schemeClr w14:val="tx1"/>
                  </w14:solidFill>
                </w14:textFill>
              </w:rPr>
              <w:t>应急救援队</w:t>
            </w:r>
            <w:r>
              <w:rPr>
                <w:rFonts w:hint="eastAsia" w:ascii="宋体" w:hAnsi="宋体" w:cs="宋体"/>
                <w:color w:val="000000" w:themeColor="text1"/>
                <w:kern w:val="0"/>
                <w:sz w:val="28"/>
                <w:szCs w:val="28"/>
                <w:lang w:eastAsia="zh-CN"/>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巴陵恒逸己内酰胺</w:t>
            </w:r>
            <w:r>
              <w:rPr>
                <w:rFonts w:hint="eastAsia" w:ascii="宋体" w:hAnsi="宋体" w:cs="宋体"/>
                <w:color w:val="000000" w:themeColor="text1"/>
                <w:kern w:val="0"/>
                <w:sz w:val="28"/>
                <w:szCs w:val="28"/>
                <w:lang w:eastAsia="zh-CN"/>
                <w14:textFill>
                  <w14:solidFill>
                    <w14:schemeClr w14:val="tx1"/>
                  </w14:solidFill>
                </w14:textFill>
              </w:rPr>
              <w:t>）</w:t>
            </w:r>
          </w:p>
        </w:tc>
        <w:tc>
          <w:tcPr>
            <w:tcW w:w="1992" w:type="dxa"/>
            <w:shd w:val="clear" w:color="auto" w:fill="auto"/>
            <w:vAlign w:val="center"/>
          </w:tcPr>
          <w:p>
            <w:pPr>
              <w:widowControl/>
              <w:ind w:firstLine="0" w:firstLineChars="0"/>
              <w:jc w:val="center"/>
              <w:rPr>
                <w:rFonts w:hint="eastAsia" w:ascii="宋体" w:hAnsi="宋体" w:eastAsia="仿宋" w:cs="宋体"/>
                <w:color w:val="000000" w:themeColor="text1"/>
                <w:kern w:val="0"/>
                <w:sz w:val="28"/>
                <w:szCs w:val="28"/>
                <w:lang w:eastAsia="zh-CN"/>
                <w14:textFill>
                  <w14:solidFill>
                    <w14:schemeClr w14:val="tx1"/>
                  </w14:solidFill>
                </w14:textFill>
              </w:rPr>
            </w:pPr>
            <w:r>
              <w:rPr>
                <w:rFonts w:hint="eastAsia" w:ascii="宋体" w:hAnsi="宋体" w:cs="宋体"/>
                <w:color w:val="000000" w:themeColor="text1"/>
                <w:kern w:val="0"/>
                <w:sz w:val="28"/>
                <w:szCs w:val="28"/>
                <w:lang w:eastAsia="zh-CN"/>
                <w14:textFill>
                  <w14:solidFill>
                    <w14:schemeClr w14:val="tx1"/>
                  </w14:solidFill>
                </w14:textFill>
              </w:rPr>
              <w:t>钱塘区</w:t>
            </w:r>
          </w:p>
        </w:tc>
        <w:tc>
          <w:tcPr>
            <w:tcW w:w="3675" w:type="dxa"/>
            <w:shd w:val="clear" w:color="auto" w:fill="auto"/>
            <w:vAlign w:val="center"/>
          </w:tcPr>
          <w:p>
            <w:pPr>
              <w:widowControl/>
              <w:ind w:firstLine="0" w:firstLineChars="0"/>
              <w:jc w:val="left"/>
              <w:rPr>
                <w:rFonts w:ascii="宋体" w:hAnsi="宋体" w:cs="宋体"/>
                <w:color w:val="000000" w:themeColor="text1"/>
                <w:kern w:val="0"/>
                <w:sz w:val="28"/>
                <w:szCs w:val="28"/>
                <w14:textFill>
                  <w14:solidFill>
                    <w14:schemeClr w14:val="tx1"/>
                  </w14:solidFill>
                </w14:textFill>
              </w:rPr>
            </w:pPr>
            <w:r>
              <w:rPr>
                <w:rFonts w:hint="eastAsia"/>
              </w:rPr>
              <w:t>杭州市钱塘区临江工业园区红十线末端浙江巴陵恒逸己内酰胺有限责任公司</w:t>
            </w:r>
          </w:p>
        </w:tc>
        <w:tc>
          <w:tcPr>
            <w:tcW w:w="1450" w:type="dxa"/>
            <w:shd w:val="clear" w:color="auto" w:fill="auto"/>
            <w:vAlign w:val="center"/>
          </w:tcPr>
          <w:p>
            <w:pPr>
              <w:widowControl/>
              <w:ind w:firstLine="0" w:firstLineChars="0"/>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孙仁亭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2145" w:type="dxa"/>
            <w:shd w:val="clear" w:color="auto" w:fill="auto"/>
            <w:vAlign w:val="center"/>
          </w:tcPr>
          <w:p>
            <w:pPr>
              <w:widowControl/>
              <w:ind w:firstLine="0" w:firstLineChars="0"/>
              <w:jc w:val="center"/>
              <w:rPr>
                <w:rFonts w:hint="eastAsia" w:ascii="宋体" w:hAnsi="宋体" w:eastAsia="仿宋" w:cs="宋体"/>
                <w:color w:val="000000" w:themeColor="text1"/>
                <w:kern w:val="0"/>
                <w:sz w:val="28"/>
                <w:szCs w:val="28"/>
                <w:lang w:eastAsia="zh-CN"/>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富阳</w:t>
            </w:r>
            <w:r>
              <w:rPr>
                <w:rFonts w:hint="eastAsia" w:ascii="宋体" w:hAnsi="宋体" w:cs="宋体"/>
                <w:color w:val="000000" w:themeColor="text1"/>
                <w:kern w:val="0"/>
                <w:sz w:val="28"/>
                <w:szCs w:val="28"/>
                <w:lang w:eastAsia="zh-CN"/>
                <w14:textFill>
                  <w14:solidFill>
                    <w14:schemeClr w14:val="tx1"/>
                  </w14:solidFill>
                </w14:textFill>
              </w:rPr>
              <w:t>区</w:t>
            </w:r>
            <w:r>
              <w:rPr>
                <w:rFonts w:hint="eastAsia" w:ascii="宋体" w:hAnsi="宋体" w:cs="宋体"/>
                <w:color w:val="000000" w:themeColor="text1"/>
                <w:kern w:val="0"/>
                <w:sz w:val="28"/>
                <w:szCs w:val="28"/>
                <w14:textFill>
                  <w14:solidFill>
                    <w14:schemeClr w14:val="tx1"/>
                  </w14:solidFill>
                </w14:textFill>
              </w:rPr>
              <w:t>危化应急救援队</w:t>
            </w:r>
            <w:r>
              <w:rPr>
                <w:rFonts w:hint="eastAsia" w:ascii="宋体" w:hAnsi="宋体" w:cs="宋体"/>
                <w:color w:val="000000" w:themeColor="text1"/>
                <w:kern w:val="0"/>
                <w:sz w:val="28"/>
                <w:szCs w:val="28"/>
                <w:lang w:eastAsia="zh-CN"/>
                <w14:textFill>
                  <w14:solidFill>
                    <w14:schemeClr w14:val="tx1"/>
                  </w14:solidFill>
                </w14:textFill>
              </w:rPr>
              <w:t>（海正药业）</w:t>
            </w:r>
          </w:p>
        </w:tc>
        <w:tc>
          <w:tcPr>
            <w:tcW w:w="1992" w:type="dxa"/>
            <w:shd w:val="clear" w:color="auto" w:fill="auto"/>
            <w:vAlign w:val="center"/>
          </w:tcPr>
          <w:p>
            <w:pPr>
              <w:widowControl/>
              <w:ind w:firstLine="0" w:firstLineChars="0"/>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富阳区</w:t>
            </w:r>
          </w:p>
        </w:tc>
        <w:tc>
          <w:tcPr>
            <w:tcW w:w="3675" w:type="dxa"/>
            <w:shd w:val="clear" w:color="auto" w:fill="auto"/>
            <w:vAlign w:val="center"/>
          </w:tcPr>
          <w:p>
            <w:pPr>
              <w:widowControl/>
              <w:ind w:firstLine="0" w:firstLineChars="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富阳区胥口镇下练村海正路1号</w:t>
            </w:r>
          </w:p>
        </w:tc>
        <w:tc>
          <w:tcPr>
            <w:tcW w:w="1450" w:type="dxa"/>
            <w:shd w:val="clear" w:color="auto" w:fill="auto"/>
            <w:vAlign w:val="center"/>
          </w:tcPr>
          <w:p>
            <w:pPr>
              <w:widowControl/>
              <w:ind w:firstLine="0" w:firstLineChars="0"/>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白凌益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2145" w:type="dxa"/>
            <w:shd w:val="clear" w:color="auto" w:fill="auto"/>
            <w:vAlign w:val="center"/>
          </w:tcPr>
          <w:p>
            <w:pPr>
              <w:widowControl/>
              <w:ind w:firstLine="0" w:firstLineChars="0"/>
              <w:jc w:val="center"/>
              <w:rPr>
                <w:rFonts w:hint="eastAsia" w:ascii="宋体" w:hAnsi="宋体" w:eastAsia="仿宋" w:cs="宋体"/>
                <w:color w:val="000000" w:themeColor="text1"/>
                <w:kern w:val="0"/>
                <w:sz w:val="28"/>
                <w:szCs w:val="28"/>
                <w:lang w:eastAsia="zh-CN"/>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建德</w:t>
            </w:r>
            <w:r>
              <w:rPr>
                <w:rFonts w:hint="eastAsia" w:ascii="宋体" w:hAnsi="宋体" w:cs="宋体"/>
                <w:color w:val="000000" w:themeColor="text1"/>
                <w:kern w:val="0"/>
                <w:sz w:val="28"/>
                <w:szCs w:val="28"/>
                <w:lang w:eastAsia="zh-CN"/>
                <w14:textFill>
                  <w14:solidFill>
                    <w14:schemeClr w14:val="tx1"/>
                  </w14:solidFill>
                </w14:textFill>
              </w:rPr>
              <w:t>市</w:t>
            </w:r>
            <w:r>
              <w:rPr>
                <w:rFonts w:hint="eastAsia" w:ascii="宋体" w:hAnsi="宋体" w:cs="宋体"/>
                <w:color w:val="000000" w:themeColor="text1"/>
                <w:kern w:val="0"/>
                <w:sz w:val="28"/>
                <w:szCs w:val="28"/>
                <w14:textFill>
                  <w14:solidFill>
                    <w14:schemeClr w14:val="tx1"/>
                  </w14:solidFill>
                </w14:textFill>
              </w:rPr>
              <w:t>危化应急救援队</w:t>
            </w:r>
            <w:r>
              <w:rPr>
                <w:rFonts w:hint="eastAsia" w:ascii="宋体" w:hAnsi="宋体" w:cs="宋体"/>
                <w:color w:val="000000" w:themeColor="text1"/>
                <w:kern w:val="0"/>
                <w:sz w:val="28"/>
                <w:szCs w:val="28"/>
                <w:lang w:eastAsia="zh-CN"/>
                <w14:textFill>
                  <w14:solidFill>
                    <w14:schemeClr w14:val="tx1"/>
                  </w14:solidFill>
                </w14:textFill>
              </w:rPr>
              <w:t>（新安化工）</w:t>
            </w:r>
          </w:p>
        </w:tc>
        <w:tc>
          <w:tcPr>
            <w:tcW w:w="1992" w:type="dxa"/>
            <w:shd w:val="clear" w:color="auto" w:fill="auto"/>
            <w:vAlign w:val="center"/>
          </w:tcPr>
          <w:p>
            <w:pPr>
              <w:widowControl/>
              <w:ind w:firstLine="0" w:firstLineChars="0"/>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建德市</w:t>
            </w:r>
          </w:p>
        </w:tc>
        <w:tc>
          <w:tcPr>
            <w:tcW w:w="3675" w:type="dxa"/>
            <w:shd w:val="clear" w:color="auto" w:fill="auto"/>
            <w:vAlign w:val="center"/>
          </w:tcPr>
          <w:p>
            <w:pPr>
              <w:widowControl/>
              <w:ind w:firstLine="0" w:firstLineChars="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建德市新安江街道有机硅基地B功能区块（园区1号）</w:t>
            </w:r>
          </w:p>
        </w:tc>
        <w:tc>
          <w:tcPr>
            <w:tcW w:w="1450" w:type="dxa"/>
            <w:shd w:val="clear" w:color="auto" w:fill="auto"/>
            <w:vAlign w:val="center"/>
          </w:tcPr>
          <w:p>
            <w:pPr>
              <w:widowControl/>
              <w:ind w:firstLine="0" w:firstLineChars="0"/>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程伟恒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2145" w:type="dxa"/>
            <w:shd w:val="clear" w:color="auto" w:fill="auto"/>
            <w:vAlign w:val="center"/>
          </w:tcPr>
          <w:p>
            <w:pPr>
              <w:widowControl/>
              <w:ind w:firstLine="0" w:firstLineChars="0"/>
              <w:jc w:val="center"/>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eastAsia="zh-CN"/>
                <w14:textFill>
                  <w14:solidFill>
                    <w14:schemeClr w14:val="tx1"/>
                  </w14:solidFill>
                </w14:textFill>
              </w:rPr>
              <w:t>临安区危化应急救援</w:t>
            </w:r>
            <w:r>
              <w:rPr>
                <w:rFonts w:hint="eastAsia" w:ascii="宋体" w:hAnsi="宋体" w:cs="宋体"/>
                <w:color w:val="000000" w:themeColor="text1"/>
                <w:kern w:val="0"/>
                <w:sz w:val="28"/>
                <w:szCs w:val="28"/>
                <w14:textFill>
                  <w14:solidFill>
                    <w14:schemeClr w14:val="tx1"/>
                  </w14:solidFill>
                </w14:textFill>
              </w:rPr>
              <w:t>队</w:t>
            </w:r>
            <w:r>
              <w:rPr>
                <w:rFonts w:hint="eastAsia" w:ascii="宋体" w:hAnsi="宋体" w:cs="宋体"/>
                <w:color w:val="000000" w:themeColor="text1"/>
                <w:kern w:val="0"/>
                <w:sz w:val="28"/>
                <w:szCs w:val="28"/>
                <w:lang w:eastAsia="zh-CN"/>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鑫富</w:t>
            </w:r>
            <w:r>
              <w:rPr>
                <w:rFonts w:hint="eastAsia" w:ascii="宋体" w:hAnsi="宋体" w:cs="宋体"/>
                <w:color w:val="000000" w:themeColor="text1"/>
                <w:kern w:val="0"/>
                <w:sz w:val="28"/>
                <w:szCs w:val="28"/>
                <w:lang w:eastAsia="zh-CN"/>
                <w14:textFill>
                  <w14:solidFill>
                    <w14:schemeClr w14:val="tx1"/>
                  </w14:solidFill>
                </w14:textFill>
              </w:rPr>
              <w:t>药业）</w:t>
            </w:r>
          </w:p>
        </w:tc>
        <w:tc>
          <w:tcPr>
            <w:tcW w:w="1992" w:type="dxa"/>
            <w:shd w:val="clear" w:color="auto" w:fill="auto"/>
            <w:vAlign w:val="center"/>
          </w:tcPr>
          <w:p>
            <w:pPr>
              <w:widowControl/>
              <w:ind w:firstLine="0" w:firstLineChars="0"/>
              <w:jc w:val="center"/>
              <w:rPr>
                <w:rFonts w:hint="eastAsia" w:ascii="宋体" w:hAnsi="宋体" w:eastAsia="仿宋" w:cs="宋体"/>
                <w:color w:val="000000" w:themeColor="text1"/>
                <w:kern w:val="0"/>
                <w:sz w:val="28"/>
                <w:szCs w:val="28"/>
                <w:lang w:eastAsia="zh-CN"/>
                <w14:textFill>
                  <w14:solidFill>
                    <w14:schemeClr w14:val="tx1"/>
                  </w14:solidFill>
                </w14:textFill>
              </w:rPr>
            </w:pPr>
            <w:r>
              <w:rPr>
                <w:rFonts w:hint="eastAsia" w:ascii="宋体" w:hAnsi="宋体" w:cs="宋体"/>
                <w:color w:val="000000" w:themeColor="text1"/>
                <w:kern w:val="0"/>
                <w:sz w:val="28"/>
                <w:szCs w:val="28"/>
                <w:lang w:eastAsia="zh-CN"/>
                <w14:textFill>
                  <w14:solidFill>
                    <w14:schemeClr w14:val="tx1"/>
                  </w14:solidFill>
                </w14:textFill>
              </w:rPr>
              <w:t>临安区</w:t>
            </w:r>
          </w:p>
        </w:tc>
        <w:tc>
          <w:tcPr>
            <w:tcW w:w="3675" w:type="dxa"/>
            <w:shd w:val="clear" w:color="auto" w:fill="auto"/>
            <w:vAlign w:val="center"/>
          </w:tcPr>
          <w:p>
            <w:pPr>
              <w:widowControl/>
              <w:ind w:firstLine="0" w:firstLineChars="0"/>
              <w:jc w:val="left"/>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杭州市临安区锦南街道上卦畈9号</w:t>
            </w:r>
          </w:p>
        </w:tc>
        <w:tc>
          <w:tcPr>
            <w:tcW w:w="1450" w:type="dxa"/>
            <w:shd w:val="clear" w:color="auto" w:fill="auto"/>
            <w:vAlign w:val="center"/>
          </w:tcPr>
          <w:p>
            <w:pPr>
              <w:widowControl/>
              <w:ind w:firstLine="0" w:firstLineChars="0"/>
              <w:jc w:val="center"/>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周烨军</w:t>
            </w:r>
          </w:p>
        </w:tc>
      </w:tr>
    </w:tbl>
    <w:p>
      <w:pPr>
        <w:ind w:firstLine="600"/>
        <w:rPr>
          <w:color w:val="000000" w:themeColor="text1"/>
          <w:sz w:val="32"/>
          <w:szCs w:val="24"/>
          <w14:textFill>
            <w14:solidFill>
              <w14:schemeClr w14:val="tx1"/>
            </w14:solidFill>
          </w14:textFill>
        </w:rPr>
      </w:pPr>
    </w:p>
    <w:p>
      <w:pPr>
        <w:pStyle w:val="4"/>
        <w:keepNext/>
        <w:keepLines/>
        <w:pageBreakBefore w:val="0"/>
        <w:widowControl w:val="0"/>
        <w:kinsoku/>
        <w:wordWrap/>
        <w:overflowPunct/>
        <w:topLinePunct w:val="0"/>
        <w:autoSpaceDE/>
        <w:autoSpaceDN/>
        <w:bidi w:val="0"/>
        <w:adjustRightInd/>
        <w:snapToGrid/>
        <w:spacing w:before="0" w:after="0" w:line="20" w:lineRule="exact"/>
        <w:textAlignment w:val="auto"/>
        <w:rPr>
          <w:rFonts w:hint="eastAsia"/>
          <w:color w:val="000000" w:themeColor="text1"/>
          <w:sz w:val="13"/>
          <w:szCs w:val="15"/>
          <w14:textFill>
            <w14:solidFill>
              <w14:schemeClr w14:val="tx1"/>
            </w14:solidFill>
          </w14:textFill>
        </w:rPr>
      </w:pPr>
      <w:bookmarkStart w:id="354" w:name="_Toc1653515662"/>
      <w:bookmarkStart w:id="355" w:name="_Toc2139506253"/>
      <w:bookmarkStart w:id="356" w:name="_Toc426822992"/>
      <w:bookmarkStart w:id="357" w:name="_Toc18818298"/>
      <w:bookmarkStart w:id="358" w:name="_Toc2045676074"/>
      <w:bookmarkStart w:id="359" w:name="_Toc1199731611"/>
      <w:bookmarkStart w:id="360" w:name="_Toc1836063913"/>
    </w:p>
    <w:p>
      <w:pPr>
        <w:pStyle w:val="4"/>
        <w:rPr>
          <w:color w:val="000000" w:themeColor="text1"/>
          <w:sz w:val="32"/>
          <w:szCs w:val="36"/>
          <w14:textFill>
            <w14:solidFill>
              <w14:schemeClr w14:val="tx1"/>
            </w14:solidFill>
          </w14:textFill>
        </w:rPr>
        <w:sectPr>
          <w:type w:val="continuous"/>
          <w:pgSz w:w="11906" w:h="16838"/>
          <w:pgMar w:top="1440" w:right="1800" w:bottom="1440" w:left="1800" w:header="851" w:footer="992" w:gutter="0"/>
          <w:cols w:space="425" w:num="1"/>
          <w:docGrid w:type="lines" w:linePitch="312" w:charSpace="0"/>
        </w:sectPr>
      </w:pPr>
      <w:r>
        <w:rPr>
          <w:rFonts w:hint="eastAsia"/>
          <w:color w:val="000000" w:themeColor="text1"/>
          <w:sz w:val="32"/>
          <w:szCs w:val="36"/>
          <w14:textFill>
            <w14:solidFill>
              <w14:schemeClr w14:val="tx1"/>
            </w14:solidFill>
          </w14:textFill>
        </w:rPr>
        <w:t>附件</w:t>
      </w:r>
      <w:r>
        <w:rPr>
          <w:rFonts w:hint="eastAsia"/>
          <w:color w:val="000000" w:themeColor="text1"/>
          <w:sz w:val="32"/>
          <w:szCs w:val="36"/>
          <w:lang w:val="en-US" w:eastAsia="zh-CN"/>
          <w14:textFill>
            <w14:solidFill>
              <w14:schemeClr w14:val="tx1"/>
            </w14:solidFill>
          </w14:textFill>
        </w:rPr>
        <w:t>5</w:t>
      </w:r>
      <w:r>
        <w:rPr>
          <w:rFonts w:hint="eastAsia"/>
          <w:color w:val="000000" w:themeColor="text1"/>
          <w:sz w:val="32"/>
          <w:szCs w:val="36"/>
          <w14:textFill>
            <w14:solidFill>
              <w14:schemeClr w14:val="tx1"/>
            </w14:solidFill>
          </w14:textFill>
        </w:rPr>
        <w:t>：</w:t>
      </w:r>
      <w:r>
        <w:rPr>
          <w:color w:val="000000" w:themeColor="text1"/>
          <w:sz w:val="32"/>
          <w:szCs w:val="36"/>
          <w14:textFill>
            <w14:solidFill>
              <w14:schemeClr w14:val="tx1"/>
            </w14:solidFill>
          </w14:textFill>
        </w:rPr>
        <w:t>杭州市危险化学品事故应急响应流程图</w:t>
      </w:r>
      <w:bookmarkEnd w:id="354"/>
      <w:bookmarkEnd w:id="355"/>
      <w:bookmarkEnd w:id="356"/>
      <w:bookmarkEnd w:id="357"/>
      <w:bookmarkEnd w:id="358"/>
      <w:bookmarkEnd w:id="359"/>
      <w:bookmarkEnd w:id="360"/>
    </w:p>
    <w:p>
      <w:pPr>
        <w:ind w:left="0" w:leftChars="0" w:firstLine="0" w:firstLineChars="0"/>
      </w:pPr>
      <w:r>
        <w:rPr>
          <w:color w:val="000000" w:themeColor="text1"/>
          <w:sz w:val="32"/>
          <w:szCs w:val="36"/>
          <w14:textFill>
            <w14:solidFill>
              <w14:schemeClr w14:val="tx1"/>
            </w14:solidFill>
          </w14:textFill>
        </w:rPr>
        <w:drawing>
          <wp:inline distT="0" distB="0" distL="114300" distR="114300">
            <wp:extent cx="5416550" cy="8115300"/>
            <wp:effectExtent l="0" t="0" r="1270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13"/>
                    <a:stretch>
                      <a:fillRect/>
                    </a:stretch>
                  </pic:blipFill>
                  <pic:spPr>
                    <a:xfrm>
                      <a:off x="0" y="0"/>
                      <a:ext cx="5416550" cy="8115300"/>
                    </a:xfrm>
                    <a:prstGeom prst="rect">
                      <a:avLst/>
                    </a:prstGeom>
                    <a:noFill/>
                    <a:ln>
                      <a:noFill/>
                    </a:ln>
                  </pic:spPr>
                </pic:pic>
              </a:graphicData>
            </a:graphic>
          </wp:inline>
        </w:drawing>
      </w:r>
    </w:p>
    <w:sectPr>
      <w:type w:val="continuous"/>
      <w:pgSz w:w="11906" w:h="16838"/>
      <w:pgMar w:top="1440" w:right="1803" w:bottom="1440" w:left="1803" w:header="851" w:footer="992" w:gutter="0"/>
      <w:cols w:space="0" w:num="1"/>
      <w:rtlGutter w:val="0"/>
      <w:docGrid w:type="lines" w:linePitch="4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Arial Unicode MS">
    <w:altName w:val="DejaVu Sans"/>
    <w:panose1 w:val="020B0604020202020204"/>
    <w:charset w:val="86"/>
    <w:family w:val="auto"/>
    <w:pitch w:val="default"/>
    <w:sig w:usb0="00000000" w:usb1="00000000" w:usb2="0000003F" w:usb3="00000000" w:csb0="603F01FF" w:csb1="FFFF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swiss"/>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等线 Light">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37426"/>
    <w:multiLevelType w:val="multilevel"/>
    <w:tmpl w:val="02937426"/>
    <w:lvl w:ilvl="0" w:tentative="0">
      <w:start w:val="1"/>
      <w:numFmt w:val="decimalEnclosedCircle"/>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60AE4717"/>
    <w:multiLevelType w:val="multilevel"/>
    <w:tmpl w:val="60AE4717"/>
    <w:lvl w:ilvl="0" w:tentative="0">
      <w:start w:val="1"/>
      <w:numFmt w:val="decimalEnclosedCircle"/>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694843A8"/>
    <w:multiLevelType w:val="multilevel"/>
    <w:tmpl w:val="694843A8"/>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981" w:hanging="420"/>
      </w:pPr>
    </w:lvl>
    <w:lvl w:ilvl="2" w:tentative="0">
      <w:start w:val="1"/>
      <w:numFmt w:val="lowerRoman"/>
      <w:lvlText w:val="%3."/>
      <w:lvlJc w:val="right"/>
      <w:pPr>
        <w:ind w:left="1401" w:hanging="420"/>
      </w:pPr>
    </w:lvl>
    <w:lvl w:ilvl="3" w:tentative="0">
      <w:start w:val="1"/>
      <w:numFmt w:val="decimal"/>
      <w:lvlText w:val="%4."/>
      <w:lvlJc w:val="left"/>
      <w:pPr>
        <w:ind w:left="1821" w:hanging="420"/>
      </w:pPr>
    </w:lvl>
    <w:lvl w:ilvl="4" w:tentative="0">
      <w:start w:val="1"/>
      <w:numFmt w:val="lowerLetter"/>
      <w:lvlText w:val="%5)"/>
      <w:lvlJc w:val="left"/>
      <w:pPr>
        <w:ind w:left="2241" w:hanging="420"/>
      </w:pPr>
    </w:lvl>
    <w:lvl w:ilvl="5" w:tentative="0">
      <w:start w:val="1"/>
      <w:numFmt w:val="lowerRoman"/>
      <w:lvlText w:val="%6."/>
      <w:lvlJc w:val="right"/>
      <w:pPr>
        <w:ind w:left="2661" w:hanging="420"/>
      </w:pPr>
    </w:lvl>
    <w:lvl w:ilvl="6" w:tentative="0">
      <w:start w:val="1"/>
      <w:numFmt w:val="decimal"/>
      <w:lvlText w:val="%7."/>
      <w:lvlJc w:val="left"/>
      <w:pPr>
        <w:ind w:left="3081" w:hanging="420"/>
      </w:pPr>
    </w:lvl>
    <w:lvl w:ilvl="7" w:tentative="0">
      <w:start w:val="1"/>
      <w:numFmt w:val="lowerLetter"/>
      <w:lvlText w:val="%8)"/>
      <w:lvlJc w:val="left"/>
      <w:pPr>
        <w:ind w:left="3501" w:hanging="420"/>
      </w:pPr>
    </w:lvl>
    <w:lvl w:ilvl="8" w:tentative="0">
      <w:start w:val="1"/>
      <w:numFmt w:val="lowerRoman"/>
      <w:lvlText w:val="%9."/>
      <w:lvlJc w:val="right"/>
      <w:pPr>
        <w:ind w:left="3921" w:hanging="420"/>
      </w:pPr>
    </w:lvl>
  </w:abstractNum>
  <w:abstractNum w:abstractNumId="3">
    <w:nsid w:val="69B47DAB"/>
    <w:multiLevelType w:val="multilevel"/>
    <w:tmpl w:val="69B47DAB"/>
    <w:lvl w:ilvl="0" w:tentative="0">
      <w:start w:val="1"/>
      <w:numFmt w:val="decimalEnclosedCircle"/>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50"/>
  <w:drawingGridVerticalSpacing w:val="208"/>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0B"/>
    <w:rsid w:val="0000157A"/>
    <w:rsid w:val="00001C4A"/>
    <w:rsid w:val="0000256A"/>
    <w:rsid w:val="0001031F"/>
    <w:rsid w:val="00013F35"/>
    <w:rsid w:val="00023622"/>
    <w:rsid w:val="000259DD"/>
    <w:rsid w:val="0002702F"/>
    <w:rsid w:val="0003121F"/>
    <w:rsid w:val="00032AF3"/>
    <w:rsid w:val="000359E9"/>
    <w:rsid w:val="00037A93"/>
    <w:rsid w:val="000424EB"/>
    <w:rsid w:val="0004314C"/>
    <w:rsid w:val="0004348A"/>
    <w:rsid w:val="00050B61"/>
    <w:rsid w:val="00055594"/>
    <w:rsid w:val="00057201"/>
    <w:rsid w:val="00061461"/>
    <w:rsid w:val="00062D73"/>
    <w:rsid w:val="00064CB5"/>
    <w:rsid w:val="000706D8"/>
    <w:rsid w:val="00070B43"/>
    <w:rsid w:val="00071058"/>
    <w:rsid w:val="00072176"/>
    <w:rsid w:val="00080014"/>
    <w:rsid w:val="000801CA"/>
    <w:rsid w:val="000831AA"/>
    <w:rsid w:val="00083F27"/>
    <w:rsid w:val="000859FA"/>
    <w:rsid w:val="00085C53"/>
    <w:rsid w:val="00087F99"/>
    <w:rsid w:val="00091DDF"/>
    <w:rsid w:val="000A0498"/>
    <w:rsid w:val="000A07B2"/>
    <w:rsid w:val="000A07FD"/>
    <w:rsid w:val="000A1C9F"/>
    <w:rsid w:val="000A44A7"/>
    <w:rsid w:val="000B1F9E"/>
    <w:rsid w:val="000B45C4"/>
    <w:rsid w:val="000B55AF"/>
    <w:rsid w:val="000B59D5"/>
    <w:rsid w:val="000C0CD8"/>
    <w:rsid w:val="000C4853"/>
    <w:rsid w:val="000C48F5"/>
    <w:rsid w:val="000C62B9"/>
    <w:rsid w:val="000C74B3"/>
    <w:rsid w:val="000C76F7"/>
    <w:rsid w:val="000C7BF0"/>
    <w:rsid w:val="000D1040"/>
    <w:rsid w:val="000D294C"/>
    <w:rsid w:val="000D6379"/>
    <w:rsid w:val="000E10EE"/>
    <w:rsid w:val="000E5FAA"/>
    <w:rsid w:val="000E62C1"/>
    <w:rsid w:val="000E7C8F"/>
    <w:rsid w:val="000F146B"/>
    <w:rsid w:val="000F31FC"/>
    <w:rsid w:val="000F6AF9"/>
    <w:rsid w:val="00102BD5"/>
    <w:rsid w:val="001044DA"/>
    <w:rsid w:val="00105C7E"/>
    <w:rsid w:val="00107F3F"/>
    <w:rsid w:val="0011030D"/>
    <w:rsid w:val="0011079E"/>
    <w:rsid w:val="00111042"/>
    <w:rsid w:val="0011317E"/>
    <w:rsid w:val="00121446"/>
    <w:rsid w:val="001220B1"/>
    <w:rsid w:val="0012240C"/>
    <w:rsid w:val="00122DA2"/>
    <w:rsid w:val="00122FFF"/>
    <w:rsid w:val="001242D9"/>
    <w:rsid w:val="0013141F"/>
    <w:rsid w:val="0013249E"/>
    <w:rsid w:val="001354D2"/>
    <w:rsid w:val="0013589D"/>
    <w:rsid w:val="00140020"/>
    <w:rsid w:val="00140384"/>
    <w:rsid w:val="00153CF3"/>
    <w:rsid w:val="00155DEC"/>
    <w:rsid w:val="001807AC"/>
    <w:rsid w:val="00185A73"/>
    <w:rsid w:val="001875EC"/>
    <w:rsid w:val="001922D7"/>
    <w:rsid w:val="001959A4"/>
    <w:rsid w:val="00195F71"/>
    <w:rsid w:val="00196FC9"/>
    <w:rsid w:val="001A1300"/>
    <w:rsid w:val="001A1D6F"/>
    <w:rsid w:val="001A33C4"/>
    <w:rsid w:val="001A4BA3"/>
    <w:rsid w:val="001B04D9"/>
    <w:rsid w:val="001B1174"/>
    <w:rsid w:val="001B17FC"/>
    <w:rsid w:val="001C6B5C"/>
    <w:rsid w:val="001D1B7D"/>
    <w:rsid w:val="001D3710"/>
    <w:rsid w:val="001D37C0"/>
    <w:rsid w:val="001D50C4"/>
    <w:rsid w:val="001D70CC"/>
    <w:rsid w:val="001E11A5"/>
    <w:rsid w:val="001E652C"/>
    <w:rsid w:val="001E6799"/>
    <w:rsid w:val="001F686D"/>
    <w:rsid w:val="002015F1"/>
    <w:rsid w:val="002078AB"/>
    <w:rsid w:val="002137CB"/>
    <w:rsid w:val="00220557"/>
    <w:rsid w:val="00221250"/>
    <w:rsid w:val="00221DC8"/>
    <w:rsid w:val="00222336"/>
    <w:rsid w:val="002233F3"/>
    <w:rsid w:val="00223AEC"/>
    <w:rsid w:val="00224066"/>
    <w:rsid w:val="00227067"/>
    <w:rsid w:val="00227A2A"/>
    <w:rsid w:val="002368BB"/>
    <w:rsid w:val="002369B0"/>
    <w:rsid w:val="00243540"/>
    <w:rsid w:val="002462C0"/>
    <w:rsid w:val="002506B9"/>
    <w:rsid w:val="00252182"/>
    <w:rsid w:val="00256E18"/>
    <w:rsid w:val="00261266"/>
    <w:rsid w:val="0026215B"/>
    <w:rsid w:val="00286F0F"/>
    <w:rsid w:val="0029255E"/>
    <w:rsid w:val="00292958"/>
    <w:rsid w:val="00292C0F"/>
    <w:rsid w:val="00295CD3"/>
    <w:rsid w:val="00297116"/>
    <w:rsid w:val="002B7658"/>
    <w:rsid w:val="002C17FA"/>
    <w:rsid w:val="002C48C5"/>
    <w:rsid w:val="002C5C50"/>
    <w:rsid w:val="002D5CB4"/>
    <w:rsid w:val="002E0BB2"/>
    <w:rsid w:val="002E3F90"/>
    <w:rsid w:val="002E4415"/>
    <w:rsid w:val="002E5F98"/>
    <w:rsid w:val="002F11FB"/>
    <w:rsid w:val="002F4C59"/>
    <w:rsid w:val="00301DBD"/>
    <w:rsid w:val="0030474A"/>
    <w:rsid w:val="00305D18"/>
    <w:rsid w:val="00307395"/>
    <w:rsid w:val="00320556"/>
    <w:rsid w:val="00320B5D"/>
    <w:rsid w:val="0032323F"/>
    <w:rsid w:val="00325AD3"/>
    <w:rsid w:val="003326D6"/>
    <w:rsid w:val="003329C3"/>
    <w:rsid w:val="00335F45"/>
    <w:rsid w:val="00337C01"/>
    <w:rsid w:val="00343B08"/>
    <w:rsid w:val="00345F25"/>
    <w:rsid w:val="00350E21"/>
    <w:rsid w:val="003513FA"/>
    <w:rsid w:val="00351594"/>
    <w:rsid w:val="003529C4"/>
    <w:rsid w:val="00362262"/>
    <w:rsid w:val="00362E27"/>
    <w:rsid w:val="0036559F"/>
    <w:rsid w:val="0037079F"/>
    <w:rsid w:val="003722E3"/>
    <w:rsid w:val="00373403"/>
    <w:rsid w:val="003769BF"/>
    <w:rsid w:val="0038616A"/>
    <w:rsid w:val="00390091"/>
    <w:rsid w:val="00390190"/>
    <w:rsid w:val="003906FB"/>
    <w:rsid w:val="00390F3F"/>
    <w:rsid w:val="00393252"/>
    <w:rsid w:val="003951F1"/>
    <w:rsid w:val="00397278"/>
    <w:rsid w:val="003B23A8"/>
    <w:rsid w:val="003B53DF"/>
    <w:rsid w:val="003B55D8"/>
    <w:rsid w:val="003C04CD"/>
    <w:rsid w:val="003C0ED4"/>
    <w:rsid w:val="003C4FC6"/>
    <w:rsid w:val="003C6EF7"/>
    <w:rsid w:val="003C7179"/>
    <w:rsid w:val="003D14FC"/>
    <w:rsid w:val="003D234F"/>
    <w:rsid w:val="003D2C0D"/>
    <w:rsid w:val="003D5B7D"/>
    <w:rsid w:val="003D6DDE"/>
    <w:rsid w:val="003E1507"/>
    <w:rsid w:val="003E1B69"/>
    <w:rsid w:val="003E2E0E"/>
    <w:rsid w:val="003E428E"/>
    <w:rsid w:val="003E537E"/>
    <w:rsid w:val="003E6175"/>
    <w:rsid w:val="003E6CC2"/>
    <w:rsid w:val="003F5815"/>
    <w:rsid w:val="004162A8"/>
    <w:rsid w:val="00417490"/>
    <w:rsid w:val="00423DB3"/>
    <w:rsid w:val="00424D41"/>
    <w:rsid w:val="00432193"/>
    <w:rsid w:val="0043222A"/>
    <w:rsid w:val="004357EC"/>
    <w:rsid w:val="004467D8"/>
    <w:rsid w:val="004521A1"/>
    <w:rsid w:val="00452F40"/>
    <w:rsid w:val="00457F89"/>
    <w:rsid w:val="004601E5"/>
    <w:rsid w:val="00470ADC"/>
    <w:rsid w:val="00474354"/>
    <w:rsid w:val="00476DEF"/>
    <w:rsid w:val="00486056"/>
    <w:rsid w:val="004915BC"/>
    <w:rsid w:val="00491ADE"/>
    <w:rsid w:val="00492322"/>
    <w:rsid w:val="00494904"/>
    <w:rsid w:val="00495A31"/>
    <w:rsid w:val="00497AAE"/>
    <w:rsid w:val="004A6A7D"/>
    <w:rsid w:val="004B1BB5"/>
    <w:rsid w:val="004B3BA5"/>
    <w:rsid w:val="004D202F"/>
    <w:rsid w:val="004D5F7C"/>
    <w:rsid w:val="004E013F"/>
    <w:rsid w:val="004E0C71"/>
    <w:rsid w:val="004E392E"/>
    <w:rsid w:val="004E7ACE"/>
    <w:rsid w:val="004E7C6C"/>
    <w:rsid w:val="004F12E6"/>
    <w:rsid w:val="004F422A"/>
    <w:rsid w:val="004F546F"/>
    <w:rsid w:val="00505E1C"/>
    <w:rsid w:val="00507447"/>
    <w:rsid w:val="00511326"/>
    <w:rsid w:val="005130ED"/>
    <w:rsid w:val="005257C6"/>
    <w:rsid w:val="005257E1"/>
    <w:rsid w:val="00531935"/>
    <w:rsid w:val="0053340C"/>
    <w:rsid w:val="00535085"/>
    <w:rsid w:val="005400B7"/>
    <w:rsid w:val="00541E52"/>
    <w:rsid w:val="00545AC2"/>
    <w:rsid w:val="00546F62"/>
    <w:rsid w:val="00554B2F"/>
    <w:rsid w:val="005572FD"/>
    <w:rsid w:val="005625F8"/>
    <w:rsid w:val="0057392B"/>
    <w:rsid w:val="00577E80"/>
    <w:rsid w:val="005864F6"/>
    <w:rsid w:val="00586C7B"/>
    <w:rsid w:val="00587BA3"/>
    <w:rsid w:val="005926B1"/>
    <w:rsid w:val="005A58D4"/>
    <w:rsid w:val="005A6472"/>
    <w:rsid w:val="005B40CB"/>
    <w:rsid w:val="005B475B"/>
    <w:rsid w:val="005C0C01"/>
    <w:rsid w:val="005C35CD"/>
    <w:rsid w:val="005C36EA"/>
    <w:rsid w:val="005C4A02"/>
    <w:rsid w:val="005C73F0"/>
    <w:rsid w:val="005D09F3"/>
    <w:rsid w:val="005D1562"/>
    <w:rsid w:val="005D48FA"/>
    <w:rsid w:val="005E0FDB"/>
    <w:rsid w:val="005E2631"/>
    <w:rsid w:val="005E3449"/>
    <w:rsid w:val="005E5DD8"/>
    <w:rsid w:val="005E68FD"/>
    <w:rsid w:val="005F3480"/>
    <w:rsid w:val="005F4E58"/>
    <w:rsid w:val="0060160D"/>
    <w:rsid w:val="006029F6"/>
    <w:rsid w:val="00604496"/>
    <w:rsid w:val="00605703"/>
    <w:rsid w:val="00606601"/>
    <w:rsid w:val="00614E7F"/>
    <w:rsid w:val="006168EB"/>
    <w:rsid w:val="0062183A"/>
    <w:rsid w:val="00621936"/>
    <w:rsid w:val="006229AE"/>
    <w:rsid w:val="0062632F"/>
    <w:rsid w:val="006266DB"/>
    <w:rsid w:val="0063350E"/>
    <w:rsid w:val="00642583"/>
    <w:rsid w:val="00646089"/>
    <w:rsid w:val="00651D85"/>
    <w:rsid w:val="006536A4"/>
    <w:rsid w:val="00654405"/>
    <w:rsid w:val="00655C1A"/>
    <w:rsid w:val="006602AA"/>
    <w:rsid w:val="00665C9D"/>
    <w:rsid w:val="00666D61"/>
    <w:rsid w:val="00672068"/>
    <w:rsid w:val="00675624"/>
    <w:rsid w:val="00675CC8"/>
    <w:rsid w:val="00684377"/>
    <w:rsid w:val="006852BF"/>
    <w:rsid w:val="00685BC5"/>
    <w:rsid w:val="0068679F"/>
    <w:rsid w:val="0069341D"/>
    <w:rsid w:val="00694C30"/>
    <w:rsid w:val="00694CCF"/>
    <w:rsid w:val="00695848"/>
    <w:rsid w:val="006A0F21"/>
    <w:rsid w:val="006A3A33"/>
    <w:rsid w:val="006A4357"/>
    <w:rsid w:val="006A7D72"/>
    <w:rsid w:val="006B1BAD"/>
    <w:rsid w:val="006B7346"/>
    <w:rsid w:val="006C3C8A"/>
    <w:rsid w:val="006D3D92"/>
    <w:rsid w:val="006E0DFE"/>
    <w:rsid w:val="006E5A95"/>
    <w:rsid w:val="006E6678"/>
    <w:rsid w:val="006E7339"/>
    <w:rsid w:val="006F18E9"/>
    <w:rsid w:val="006F3941"/>
    <w:rsid w:val="006F44F7"/>
    <w:rsid w:val="0070351C"/>
    <w:rsid w:val="007035E5"/>
    <w:rsid w:val="0071010C"/>
    <w:rsid w:val="007124A2"/>
    <w:rsid w:val="0072369D"/>
    <w:rsid w:val="00734463"/>
    <w:rsid w:val="00752322"/>
    <w:rsid w:val="00776E66"/>
    <w:rsid w:val="0077719F"/>
    <w:rsid w:val="0078186C"/>
    <w:rsid w:val="00781995"/>
    <w:rsid w:val="00785AA1"/>
    <w:rsid w:val="007A037F"/>
    <w:rsid w:val="007A1053"/>
    <w:rsid w:val="007B3282"/>
    <w:rsid w:val="007B33DD"/>
    <w:rsid w:val="007B387F"/>
    <w:rsid w:val="007B48F0"/>
    <w:rsid w:val="007B7903"/>
    <w:rsid w:val="007C344C"/>
    <w:rsid w:val="007C709D"/>
    <w:rsid w:val="007D093A"/>
    <w:rsid w:val="007D5A3D"/>
    <w:rsid w:val="007D6B09"/>
    <w:rsid w:val="007F29D7"/>
    <w:rsid w:val="007F2C45"/>
    <w:rsid w:val="007F4C86"/>
    <w:rsid w:val="008018E9"/>
    <w:rsid w:val="008020A9"/>
    <w:rsid w:val="00822E85"/>
    <w:rsid w:val="00824BDF"/>
    <w:rsid w:val="00825176"/>
    <w:rsid w:val="0082586D"/>
    <w:rsid w:val="00830808"/>
    <w:rsid w:val="00832D5F"/>
    <w:rsid w:val="00843C8B"/>
    <w:rsid w:val="00846C77"/>
    <w:rsid w:val="00850312"/>
    <w:rsid w:val="00852FE3"/>
    <w:rsid w:val="008561AE"/>
    <w:rsid w:val="0087414A"/>
    <w:rsid w:val="00875B73"/>
    <w:rsid w:val="00883FE8"/>
    <w:rsid w:val="00884983"/>
    <w:rsid w:val="00884CC9"/>
    <w:rsid w:val="008856C5"/>
    <w:rsid w:val="00885D8E"/>
    <w:rsid w:val="00890CCA"/>
    <w:rsid w:val="00894058"/>
    <w:rsid w:val="008947A9"/>
    <w:rsid w:val="00895B13"/>
    <w:rsid w:val="008A543E"/>
    <w:rsid w:val="008A5BAE"/>
    <w:rsid w:val="008B07E8"/>
    <w:rsid w:val="008B2EA2"/>
    <w:rsid w:val="008B4CC8"/>
    <w:rsid w:val="008B5443"/>
    <w:rsid w:val="008C1036"/>
    <w:rsid w:val="008C165C"/>
    <w:rsid w:val="008C2529"/>
    <w:rsid w:val="008C37BE"/>
    <w:rsid w:val="008C4CE7"/>
    <w:rsid w:val="008D0B72"/>
    <w:rsid w:val="008D196A"/>
    <w:rsid w:val="008D6FD7"/>
    <w:rsid w:val="008D7A4A"/>
    <w:rsid w:val="008E3100"/>
    <w:rsid w:val="008E41B3"/>
    <w:rsid w:val="008E518E"/>
    <w:rsid w:val="008E7652"/>
    <w:rsid w:val="008F05F7"/>
    <w:rsid w:val="008F2842"/>
    <w:rsid w:val="009107F3"/>
    <w:rsid w:val="00913BA0"/>
    <w:rsid w:val="00916466"/>
    <w:rsid w:val="00916921"/>
    <w:rsid w:val="0091708C"/>
    <w:rsid w:val="00920025"/>
    <w:rsid w:val="00920DDF"/>
    <w:rsid w:val="009260E6"/>
    <w:rsid w:val="00933227"/>
    <w:rsid w:val="00935DB7"/>
    <w:rsid w:val="00943024"/>
    <w:rsid w:val="009463C2"/>
    <w:rsid w:val="00952216"/>
    <w:rsid w:val="00952322"/>
    <w:rsid w:val="00952A2D"/>
    <w:rsid w:val="00956C01"/>
    <w:rsid w:val="0096060E"/>
    <w:rsid w:val="00963C4E"/>
    <w:rsid w:val="00967428"/>
    <w:rsid w:val="00973A75"/>
    <w:rsid w:val="0097493D"/>
    <w:rsid w:val="009768EA"/>
    <w:rsid w:val="00982C5B"/>
    <w:rsid w:val="009848E4"/>
    <w:rsid w:val="00993CF3"/>
    <w:rsid w:val="00996B1C"/>
    <w:rsid w:val="00997201"/>
    <w:rsid w:val="009A2881"/>
    <w:rsid w:val="009A2D56"/>
    <w:rsid w:val="009A32C3"/>
    <w:rsid w:val="009A3B6C"/>
    <w:rsid w:val="009A4918"/>
    <w:rsid w:val="009A5B36"/>
    <w:rsid w:val="009A68E2"/>
    <w:rsid w:val="009B2889"/>
    <w:rsid w:val="009B4B1A"/>
    <w:rsid w:val="009B5827"/>
    <w:rsid w:val="009C264F"/>
    <w:rsid w:val="009C3F14"/>
    <w:rsid w:val="009C7274"/>
    <w:rsid w:val="009D3D7C"/>
    <w:rsid w:val="009E1859"/>
    <w:rsid w:val="009E380E"/>
    <w:rsid w:val="009E39D5"/>
    <w:rsid w:val="009E641F"/>
    <w:rsid w:val="009E786F"/>
    <w:rsid w:val="009F25CE"/>
    <w:rsid w:val="009F4D05"/>
    <w:rsid w:val="009F7274"/>
    <w:rsid w:val="009F7C6A"/>
    <w:rsid w:val="00A019DD"/>
    <w:rsid w:val="00A02B2D"/>
    <w:rsid w:val="00A02BAA"/>
    <w:rsid w:val="00A02CB8"/>
    <w:rsid w:val="00A06AF6"/>
    <w:rsid w:val="00A07F05"/>
    <w:rsid w:val="00A1105F"/>
    <w:rsid w:val="00A137C3"/>
    <w:rsid w:val="00A15D0C"/>
    <w:rsid w:val="00A1600A"/>
    <w:rsid w:val="00A17602"/>
    <w:rsid w:val="00A267FB"/>
    <w:rsid w:val="00A35788"/>
    <w:rsid w:val="00A35C0A"/>
    <w:rsid w:val="00A508A0"/>
    <w:rsid w:val="00A51400"/>
    <w:rsid w:val="00A53CB7"/>
    <w:rsid w:val="00A55866"/>
    <w:rsid w:val="00A56E2F"/>
    <w:rsid w:val="00A61D87"/>
    <w:rsid w:val="00A64CEA"/>
    <w:rsid w:val="00A65428"/>
    <w:rsid w:val="00A655C6"/>
    <w:rsid w:val="00A7666E"/>
    <w:rsid w:val="00A80383"/>
    <w:rsid w:val="00A8047C"/>
    <w:rsid w:val="00A824DC"/>
    <w:rsid w:val="00A84111"/>
    <w:rsid w:val="00A92F1E"/>
    <w:rsid w:val="00A94FFF"/>
    <w:rsid w:val="00A96391"/>
    <w:rsid w:val="00A971D6"/>
    <w:rsid w:val="00AA0C87"/>
    <w:rsid w:val="00AA1124"/>
    <w:rsid w:val="00AA1F3F"/>
    <w:rsid w:val="00AA3F31"/>
    <w:rsid w:val="00AA7169"/>
    <w:rsid w:val="00AB1AD6"/>
    <w:rsid w:val="00AC1EC4"/>
    <w:rsid w:val="00AD3084"/>
    <w:rsid w:val="00AF23AD"/>
    <w:rsid w:val="00AF5881"/>
    <w:rsid w:val="00AF6803"/>
    <w:rsid w:val="00B01EB9"/>
    <w:rsid w:val="00B05735"/>
    <w:rsid w:val="00B073B4"/>
    <w:rsid w:val="00B1645D"/>
    <w:rsid w:val="00B1733C"/>
    <w:rsid w:val="00B27226"/>
    <w:rsid w:val="00B30706"/>
    <w:rsid w:val="00B3676F"/>
    <w:rsid w:val="00B42208"/>
    <w:rsid w:val="00B42332"/>
    <w:rsid w:val="00B4333E"/>
    <w:rsid w:val="00B443E3"/>
    <w:rsid w:val="00B4681F"/>
    <w:rsid w:val="00B46862"/>
    <w:rsid w:val="00B5561F"/>
    <w:rsid w:val="00B66609"/>
    <w:rsid w:val="00B70D1E"/>
    <w:rsid w:val="00B71011"/>
    <w:rsid w:val="00B7548F"/>
    <w:rsid w:val="00B8035F"/>
    <w:rsid w:val="00B81C95"/>
    <w:rsid w:val="00B82034"/>
    <w:rsid w:val="00B8255F"/>
    <w:rsid w:val="00B84A6F"/>
    <w:rsid w:val="00B86C06"/>
    <w:rsid w:val="00B90DF0"/>
    <w:rsid w:val="00B961D2"/>
    <w:rsid w:val="00BA6038"/>
    <w:rsid w:val="00BB1C8C"/>
    <w:rsid w:val="00BC7703"/>
    <w:rsid w:val="00BE1FA5"/>
    <w:rsid w:val="00BE239E"/>
    <w:rsid w:val="00BE44E3"/>
    <w:rsid w:val="00BF1C14"/>
    <w:rsid w:val="00BF2FBD"/>
    <w:rsid w:val="00BF7AB9"/>
    <w:rsid w:val="00BF7EFA"/>
    <w:rsid w:val="00C0191C"/>
    <w:rsid w:val="00C159C0"/>
    <w:rsid w:val="00C236B4"/>
    <w:rsid w:val="00C246A9"/>
    <w:rsid w:val="00C300E7"/>
    <w:rsid w:val="00C36D27"/>
    <w:rsid w:val="00C403CA"/>
    <w:rsid w:val="00C404FB"/>
    <w:rsid w:val="00C40AC1"/>
    <w:rsid w:val="00C5094A"/>
    <w:rsid w:val="00C60CFF"/>
    <w:rsid w:val="00C7212C"/>
    <w:rsid w:val="00C76FF5"/>
    <w:rsid w:val="00C83E06"/>
    <w:rsid w:val="00C83E97"/>
    <w:rsid w:val="00C8718E"/>
    <w:rsid w:val="00C9024A"/>
    <w:rsid w:val="00C9259D"/>
    <w:rsid w:val="00C94708"/>
    <w:rsid w:val="00C96539"/>
    <w:rsid w:val="00C96C0E"/>
    <w:rsid w:val="00CA009E"/>
    <w:rsid w:val="00CA1DC5"/>
    <w:rsid w:val="00CA367F"/>
    <w:rsid w:val="00CB1A47"/>
    <w:rsid w:val="00CB23A0"/>
    <w:rsid w:val="00CC53C9"/>
    <w:rsid w:val="00CC60F3"/>
    <w:rsid w:val="00CC6AFA"/>
    <w:rsid w:val="00CC70F8"/>
    <w:rsid w:val="00CD02A0"/>
    <w:rsid w:val="00CD4BAE"/>
    <w:rsid w:val="00CD508A"/>
    <w:rsid w:val="00CE440F"/>
    <w:rsid w:val="00CE6220"/>
    <w:rsid w:val="00CE65EC"/>
    <w:rsid w:val="00CE78E1"/>
    <w:rsid w:val="00CF1CBE"/>
    <w:rsid w:val="00CF4D10"/>
    <w:rsid w:val="00D00A0B"/>
    <w:rsid w:val="00D01C19"/>
    <w:rsid w:val="00D11BC2"/>
    <w:rsid w:val="00D17D21"/>
    <w:rsid w:val="00D204EE"/>
    <w:rsid w:val="00D255AB"/>
    <w:rsid w:val="00D27C3E"/>
    <w:rsid w:val="00D35F2E"/>
    <w:rsid w:val="00D3775F"/>
    <w:rsid w:val="00D40EEC"/>
    <w:rsid w:val="00D456F7"/>
    <w:rsid w:val="00D45D14"/>
    <w:rsid w:val="00D46834"/>
    <w:rsid w:val="00D47C51"/>
    <w:rsid w:val="00D5142A"/>
    <w:rsid w:val="00D519A7"/>
    <w:rsid w:val="00D57DA2"/>
    <w:rsid w:val="00D62BF1"/>
    <w:rsid w:val="00D635FC"/>
    <w:rsid w:val="00D644BD"/>
    <w:rsid w:val="00D66233"/>
    <w:rsid w:val="00D706CD"/>
    <w:rsid w:val="00D76A47"/>
    <w:rsid w:val="00D83EB8"/>
    <w:rsid w:val="00D87C55"/>
    <w:rsid w:val="00D92B58"/>
    <w:rsid w:val="00D94076"/>
    <w:rsid w:val="00DB02D9"/>
    <w:rsid w:val="00DB28E0"/>
    <w:rsid w:val="00DB62BA"/>
    <w:rsid w:val="00DC3616"/>
    <w:rsid w:val="00DC48EA"/>
    <w:rsid w:val="00DC6E8C"/>
    <w:rsid w:val="00DC7F0B"/>
    <w:rsid w:val="00DD03E7"/>
    <w:rsid w:val="00DD4534"/>
    <w:rsid w:val="00DE13EE"/>
    <w:rsid w:val="00DF0144"/>
    <w:rsid w:val="00DF44B3"/>
    <w:rsid w:val="00DF6664"/>
    <w:rsid w:val="00DF79AE"/>
    <w:rsid w:val="00DF7E06"/>
    <w:rsid w:val="00E05EEE"/>
    <w:rsid w:val="00E11440"/>
    <w:rsid w:val="00E11CF1"/>
    <w:rsid w:val="00E15464"/>
    <w:rsid w:val="00E219DD"/>
    <w:rsid w:val="00E23363"/>
    <w:rsid w:val="00E3374A"/>
    <w:rsid w:val="00E33DE1"/>
    <w:rsid w:val="00E35576"/>
    <w:rsid w:val="00E35846"/>
    <w:rsid w:val="00E36CAD"/>
    <w:rsid w:val="00E37278"/>
    <w:rsid w:val="00E40BC8"/>
    <w:rsid w:val="00E42284"/>
    <w:rsid w:val="00E434E8"/>
    <w:rsid w:val="00E47CAA"/>
    <w:rsid w:val="00E52E45"/>
    <w:rsid w:val="00E56EAE"/>
    <w:rsid w:val="00E62113"/>
    <w:rsid w:val="00E65FC0"/>
    <w:rsid w:val="00E7100B"/>
    <w:rsid w:val="00E73D9B"/>
    <w:rsid w:val="00E74072"/>
    <w:rsid w:val="00E76B21"/>
    <w:rsid w:val="00E77D9A"/>
    <w:rsid w:val="00E81D78"/>
    <w:rsid w:val="00E83994"/>
    <w:rsid w:val="00E8453E"/>
    <w:rsid w:val="00E87BF0"/>
    <w:rsid w:val="00E946F6"/>
    <w:rsid w:val="00E9521E"/>
    <w:rsid w:val="00E9557D"/>
    <w:rsid w:val="00EA2318"/>
    <w:rsid w:val="00EA5208"/>
    <w:rsid w:val="00EB5EFC"/>
    <w:rsid w:val="00EC2B23"/>
    <w:rsid w:val="00EC3CCD"/>
    <w:rsid w:val="00EC70E5"/>
    <w:rsid w:val="00ED1E96"/>
    <w:rsid w:val="00ED2CA6"/>
    <w:rsid w:val="00ED5C07"/>
    <w:rsid w:val="00ED6D60"/>
    <w:rsid w:val="00ED6EB0"/>
    <w:rsid w:val="00ED7B88"/>
    <w:rsid w:val="00EE6EB7"/>
    <w:rsid w:val="00EF1BC0"/>
    <w:rsid w:val="00EF7D72"/>
    <w:rsid w:val="00F00BEA"/>
    <w:rsid w:val="00F058C9"/>
    <w:rsid w:val="00F1014C"/>
    <w:rsid w:val="00F120B7"/>
    <w:rsid w:val="00F1349A"/>
    <w:rsid w:val="00F146D9"/>
    <w:rsid w:val="00F1548E"/>
    <w:rsid w:val="00F15DE4"/>
    <w:rsid w:val="00F208AD"/>
    <w:rsid w:val="00F269E4"/>
    <w:rsid w:val="00F27035"/>
    <w:rsid w:val="00F30A87"/>
    <w:rsid w:val="00F428CC"/>
    <w:rsid w:val="00F45B2F"/>
    <w:rsid w:val="00F46382"/>
    <w:rsid w:val="00F5269C"/>
    <w:rsid w:val="00F52827"/>
    <w:rsid w:val="00F55B22"/>
    <w:rsid w:val="00F60357"/>
    <w:rsid w:val="00F61391"/>
    <w:rsid w:val="00F65F62"/>
    <w:rsid w:val="00F704F7"/>
    <w:rsid w:val="00F708F8"/>
    <w:rsid w:val="00F71375"/>
    <w:rsid w:val="00F7173B"/>
    <w:rsid w:val="00F755EA"/>
    <w:rsid w:val="00F81757"/>
    <w:rsid w:val="00F83C82"/>
    <w:rsid w:val="00F84825"/>
    <w:rsid w:val="00F871FF"/>
    <w:rsid w:val="00F954F5"/>
    <w:rsid w:val="00F9785F"/>
    <w:rsid w:val="00FA156F"/>
    <w:rsid w:val="00FA4764"/>
    <w:rsid w:val="00FA5955"/>
    <w:rsid w:val="00FA711A"/>
    <w:rsid w:val="00FB799B"/>
    <w:rsid w:val="00FC0458"/>
    <w:rsid w:val="00FC578C"/>
    <w:rsid w:val="00FD1630"/>
    <w:rsid w:val="00FD384B"/>
    <w:rsid w:val="00FE0F36"/>
    <w:rsid w:val="00FE159E"/>
    <w:rsid w:val="00FE1ECF"/>
    <w:rsid w:val="00FE3D4B"/>
    <w:rsid w:val="00FE3DBA"/>
    <w:rsid w:val="00FE66A1"/>
    <w:rsid w:val="00FE6A06"/>
    <w:rsid w:val="00FE7608"/>
    <w:rsid w:val="00FF0710"/>
    <w:rsid w:val="00FF0CCE"/>
    <w:rsid w:val="00FF1B29"/>
    <w:rsid w:val="00FF1F28"/>
    <w:rsid w:val="00FF6905"/>
    <w:rsid w:val="01C45F1E"/>
    <w:rsid w:val="03A765F8"/>
    <w:rsid w:val="07C679D5"/>
    <w:rsid w:val="0B4D6BD4"/>
    <w:rsid w:val="0FEB608E"/>
    <w:rsid w:val="15F3C2C3"/>
    <w:rsid w:val="174D7ED3"/>
    <w:rsid w:val="17E89578"/>
    <w:rsid w:val="1E5C12DD"/>
    <w:rsid w:val="1F773271"/>
    <w:rsid w:val="2C5FB759"/>
    <w:rsid w:val="2F280B6B"/>
    <w:rsid w:val="2FCC6A08"/>
    <w:rsid w:val="3775D93A"/>
    <w:rsid w:val="379D0209"/>
    <w:rsid w:val="37E78297"/>
    <w:rsid w:val="39237270"/>
    <w:rsid w:val="3D7B91CD"/>
    <w:rsid w:val="3ED364C1"/>
    <w:rsid w:val="3FB3054B"/>
    <w:rsid w:val="498B7DA6"/>
    <w:rsid w:val="4B98721C"/>
    <w:rsid w:val="54D1162D"/>
    <w:rsid w:val="578E2B5B"/>
    <w:rsid w:val="5A7FBD3D"/>
    <w:rsid w:val="5BBEFEE3"/>
    <w:rsid w:val="5C2E402F"/>
    <w:rsid w:val="5DB71F32"/>
    <w:rsid w:val="5F2D7F69"/>
    <w:rsid w:val="5FA32930"/>
    <w:rsid w:val="5FFE18B0"/>
    <w:rsid w:val="6D5F586E"/>
    <w:rsid w:val="6EB71428"/>
    <w:rsid w:val="6F5FC3B6"/>
    <w:rsid w:val="73DE71E1"/>
    <w:rsid w:val="75F75CD0"/>
    <w:rsid w:val="77F7EAA5"/>
    <w:rsid w:val="77FB0782"/>
    <w:rsid w:val="7AD75740"/>
    <w:rsid w:val="7AFBAED3"/>
    <w:rsid w:val="7B6F74CA"/>
    <w:rsid w:val="7BE36910"/>
    <w:rsid w:val="7BFEB6BC"/>
    <w:rsid w:val="7D3FFBA7"/>
    <w:rsid w:val="7E478A9C"/>
    <w:rsid w:val="7ED6E6E8"/>
    <w:rsid w:val="7EF619D0"/>
    <w:rsid w:val="7EFD9056"/>
    <w:rsid w:val="7F4B4546"/>
    <w:rsid w:val="7F5C6876"/>
    <w:rsid w:val="7F9FDE9D"/>
    <w:rsid w:val="7FA19AA0"/>
    <w:rsid w:val="7FBB500E"/>
    <w:rsid w:val="7FBD1E3D"/>
    <w:rsid w:val="7FBF5AA6"/>
    <w:rsid w:val="7FD0C747"/>
    <w:rsid w:val="7FEC5EEF"/>
    <w:rsid w:val="7FEF0545"/>
    <w:rsid w:val="B7CFC916"/>
    <w:rsid w:val="BF4D6C16"/>
    <w:rsid w:val="BF753F5E"/>
    <w:rsid w:val="BFF67E18"/>
    <w:rsid w:val="C49FF2AE"/>
    <w:rsid w:val="CB9BB2A7"/>
    <w:rsid w:val="CEBF1453"/>
    <w:rsid w:val="CEDB171D"/>
    <w:rsid w:val="CF7DD002"/>
    <w:rsid w:val="D1B3BE45"/>
    <w:rsid w:val="D7BCAFB6"/>
    <w:rsid w:val="D7DFF970"/>
    <w:rsid w:val="DBEFFC66"/>
    <w:rsid w:val="DE7E5516"/>
    <w:rsid w:val="DEDEB413"/>
    <w:rsid w:val="DEFB31E7"/>
    <w:rsid w:val="DFFDC9D7"/>
    <w:rsid w:val="E1CFECCD"/>
    <w:rsid w:val="E5FBEBFC"/>
    <w:rsid w:val="EEDFD21B"/>
    <w:rsid w:val="EEFF81F6"/>
    <w:rsid w:val="EFF64F5E"/>
    <w:rsid w:val="F0AF59DC"/>
    <w:rsid w:val="F3BB65E3"/>
    <w:rsid w:val="F6930916"/>
    <w:rsid w:val="F6DF51C3"/>
    <w:rsid w:val="F6DFD9FC"/>
    <w:rsid w:val="F79FB467"/>
    <w:rsid w:val="F7FD76DE"/>
    <w:rsid w:val="F9BF0A9F"/>
    <w:rsid w:val="F9DF203F"/>
    <w:rsid w:val="FAD61239"/>
    <w:rsid w:val="FAFB8113"/>
    <w:rsid w:val="FBFBB1FD"/>
    <w:rsid w:val="FC32B564"/>
    <w:rsid w:val="FCB757F6"/>
    <w:rsid w:val="FD27A101"/>
    <w:rsid w:val="FD69998A"/>
    <w:rsid w:val="FDFBBE80"/>
    <w:rsid w:val="FE270E6B"/>
    <w:rsid w:val="FE7D19EB"/>
    <w:rsid w:val="FE7D52BB"/>
    <w:rsid w:val="FEFC89C6"/>
    <w:rsid w:val="FF2DA152"/>
    <w:rsid w:val="FF7752E1"/>
    <w:rsid w:val="FFDFF334"/>
    <w:rsid w:val="FFEFAF88"/>
    <w:rsid w:val="FFF32D6F"/>
    <w:rsid w:val="FFFF6E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pPr>
    <w:rPr>
      <w:rFonts w:ascii="Times New Roman" w:hAnsi="Times New Roman" w:eastAsia="仿宋" w:cstheme="minorBidi"/>
      <w:kern w:val="2"/>
      <w:sz w:val="30"/>
      <w:szCs w:val="22"/>
      <w:lang w:val="en-US" w:eastAsia="zh-CN" w:bidi="ar-SA"/>
    </w:rPr>
  </w:style>
  <w:style w:type="paragraph" w:styleId="3">
    <w:name w:val="heading 1"/>
    <w:basedOn w:val="1"/>
    <w:next w:val="1"/>
    <w:link w:val="24"/>
    <w:qFormat/>
    <w:uiPriority w:val="9"/>
    <w:pPr>
      <w:keepNext/>
      <w:keepLines/>
      <w:spacing w:before="120" w:after="120" w:line="578" w:lineRule="auto"/>
      <w:ind w:firstLine="0" w:firstLineChars="0"/>
      <w:outlineLvl w:val="0"/>
    </w:pPr>
    <w:rPr>
      <w:rFonts w:eastAsia="黑体"/>
      <w:b/>
      <w:bCs/>
      <w:kern w:val="44"/>
      <w:sz w:val="32"/>
      <w:szCs w:val="44"/>
    </w:rPr>
  </w:style>
  <w:style w:type="paragraph" w:styleId="4">
    <w:name w:val="heading 2"/>
    <w:basedOn w:val="1"/>
    <w:next w:val="1"/>
    <w:link w:val="23"/>
    <w:unhideWhenUsed/>
    <w:qFormat/>
    <w:uiPriority w:val="9"/>
    <w:pPr>
      <w:keepNext/>
      <w:keepLines/>
      <w:spacing w:before="120" w:after="120" w:line="415" w:lineRule="auto"/>
      <w:ind w:firstLine="0" w:firstLineChars="0"/>
      <w:outlineLvl w:val="1"/>
    </w:pPr>
    <w:rPr>
      <w:rFonts w:cstheme="majorBidi"/>
      <w:b/>
      <w:bCs/>
      <w:szCs w:val="32"/>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annotation text"/>
    <w:basedOn w:val="1"/>
    <w:link w:val="30"/>
    <w:unhideWhenUsed/>
    <w:qFormat/>
    <w:uiPriority w:val="99"/>
  </w:style>
  <w:style w:type="paragraph" w:styleId="6">
    <w:name w:val="Body Text"/>
    <w:basedOn w:val="1"/>
    <w:link w:val="22"/>
    <w:qFormat/>
    <w:uiPriority w:val="1"/>
    <w:pPr>
      <w:spacing w:before="29"/>
      <w:ind w:left="108"/>
    </w:pPr>
    <w:rPr>
      <w:rFonts w:ascii="仿宋_GB2312" w:hAnsi="仿宋_GB2312" w:eastAsia="仿宋_GB2312"/>
      <w:kern w:val="0"/>
      <w:sz w:val="32"/>
      <w:szCs w:val="32"/>
      <w:lang w:eastAsia="en-US"/>
    </w:rPr>
  </w:style>
  <w:style w:type="paragraph" w:styleId="7">
    <w:name w:val="toc 3"/>
    <w:basedOn w:val="1"/>
    <w:next w:val="1"/>
    <w:unhideWhenUsed/>
    <w:qFormat/>
    <w:uiPriority w:val="39"/>
    <w:pPr>
      <w:ind w:left="840" w:leftChars="400"/>
    </w:pPr>
  </w:style>
  <w:style w:type="paragraph" w:styleId="8">
    <w:name w:val="Plain Text"/>
    <w:basedOn w:val="1"/>
    <w:unhideWhenUsed/>
    <w:qFormat/>
    <w:uiPriority w:val="0"/>
    <w:rPr>
      <w:rFonts w:ascii="宋体" w:hAnsi="Courier New" w:eastAsia="仿宋_GB2312"/>
      <w:sz w:val="30"/>
      <w:szCs w:val="21"/>
    </w:rPr>
  </w:style>
  <w:style w:type="paragraph" w:styleId="9">
    <w:name w:val="Balloon Text"/>
    <w:basedOn w:val="1"/>
    <w:link w:val="27"/>
    <w:unhideWhenUsed/>
    <w:qFormat/>
    <w:uiPriority w:val="99"/>
    <w:rPr>
      <w:sz w:val="18"/>
      <w:szCs w:val="18"/>
    </w:rPr>
  </w:style>
  <w:style w:type="paragraph" w:styleId="10">
    <w:name w:val="footer"/>
    <w:basedOn w:val="1"/>
    <w:link w:val="29"/>
    <w:unhideWhenUsed/>
    <w:qFormat/>
    <w:uiPriority w:val="99"/>
    <w:pPr>
      <w:tabs>
        <w:tab w:val="center" w:pos="4153"/>
        <w:tab w:val="right" w:pos="8306"/>
      </w:tabs>
      <w:snapToGrid w:val="0"/>
    </w:pPr>
    <w:rPr>
      <w:sz w:val="18"/>
      <w:szCs w:val="18"/>
    </w:rPr>
  </w:style>
  <w:style w:type="paragraph" w:styleId="11">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semiHidden/>
    <w:qFormat/>
    <w:uiPriority w:val="0"/>
    <w:pPr>
      <w:widowControl/>
      <w:spacing w:before="100" w:beforeAutospacing="1" w:after="100" w:afterAutospacing="1"/>
      <w:ind w:firstLine="0" w:firstLineChars="0"/>
    </w:pPr>
    <w:rPr>
      <w:rFonts w:ascii="Arial Unicode MS" w:hAnsi="Arial Unicode MS" w:eastAsia="Times New Roman" w:cs="Times New Roman"/>
      <w:kern w:val="0"/>
      <w:sz w:val="24"/>
      <w:szCs w:val="24"/>
    </w:rPr>
  </w:style>
  <w:style w:type="paragraph" w:styleId="15">
    <w:name w:val="annotation subject"/>
    <w:basedOn w:val="5"/>
    <w:next w:val="5"/>
    <w:link w:val="31"/>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basedOn w:val="18"/>
    <w:unhideWhenUsed/>
    <w:qFormat/>
    <w:uiPriority w:val="99"/>
    <w:rPr>
      <w:sz w:val="21"/>
      <w:szCs w:val="21"/>
    </w:rPr>
  </w:style>
  <w:style w:type="character" w:customStyle="1" w:styleId="22">
    <w:name w:val="正文文本 字符"/>
    <w:basedOn w:val="18"/>
    <w:link w:val="6"/>
    <w:qFormat/>
    <w:uiPriority w:val="1"/>
    <w:rPr>
      <w:rFonts w:ascii="仿宋_GB2312" w:hAnsi="仿宋_GB2312" w:eastAsia="仿宋_GB2312"/>
      <w:kern w:val="0"/>
      <w:sz w:val="32"/>
      <w:szCs w:val="32"/>
      <w:lang w:eastAsia="en-US"/>
    </w:rPr>
  </w:style>
  <w:style w:type="character" w:customStyle="1" w:styleId="23">
    <w:name w:val="标题 2 字符"/>
    <w:basedOn w:val="18"/>
    <w:link w:val="4"/>
    <w:qFormat/>
    <w:uiPriority w:val="9"/>
    <w:rPr>
      <w:rFonts w:ascii="Times New Roman" w:hAnsi="Times New Roman" w:eastAsia="仿宋" w:cstheme="majorBidi"/>
      <w:b/>
      <w:bCs/>
      <w:sz w:val="30"/>
      <w:szCs w:val="32"/>
    </w:rPr>
  </w:style>
  <w:style w:type="character" w:customStyle="1" w:styleId="24">
    <w:name w:val="标题 1 字符"/>
    <w:basedOn w:val="18"/>
    <w:link w:val="3"/>
    <w:qFormat/>
    <w:uiPriority w:val="9"/>
    <w:rPr>
      <w:rFonts w:ascii="Times New Roman" w:hAnsi="Times New Roman" w:eastAsia="黑体"/>
      <w:b/>
      <w:bCs/>
      <w:kern w:val="44"/>
      <w:sz w:val="32"/>
      <w:szCs w:val="44"/>
    </w:rPr>
  </w:style>
  <w:style w:type="paragraph" w:customStyle="1" w:styleId="25">
    <w:name w:val="No Spacing"/>
    <w:qFormat/>
    <w:uiPriority w:val="1"/>
    <w:pPr>
      <w:widowControl w:val="0"/>
      <w:ind w:firstLine="200" w:firstLineChars="200"/>
      <w:jc w:val="both"/>
    </w:pPr>
    <w:rPr>
      <w:rFonts w:eastAsia="仿宋" w:asciiTheme="minorHAnsi" w:hAnsiTheme="minorHAnsi" w:cstheme="minorBidi"/>
      <w:kern w:val="2"/>
      <w:sz w:val="30"/>
      <w:szCs w:val="22"/>
      <w:lang w:val="en-US" w:eastAsia="zh-CN" w:bidi="ar-SA"/>
    </w:rPr>
  </w:style>
  <w:style w:type="paragraph" w:customStyle="1" w:styleId="26">
    <w:name w:val="List Paragraph"/>
    <w:basedOn w:val="1"/>
    <w:qFormat/>
    <w:uiPriority w:val="34"/>
    <w:pPr>
      <w:ind w:firstLine="420"/>
    </w:pPr>
  </w:style>
  <w:style w:type="character" w:customStyle="1" w:styleId="27">
    <w:name w:val="批注框文本 字符"/>
    <w:basedOn w:val="18"/>
    <w:link w:val="9"/>
    <w:semiHidden/>
    <w:qFormat/>
    <w:uiPriority w:val="99"/>
    <w:rPr>
      <w:rFonts w:eastAsia="仿宋"/>
      <w:sz w:val="18"/>
      <w:szCs w:val="18"/>
    </w:rPr>
  </w:style>
  <w:style w:type="character" w:customStyle="1" w:styleId="28">
    <w:name w:val="页眉 字符"/>
    <w:basedOn w:val="18"/>
    <w:link w:val="11"/>
    <w:qFormat/>
    <w:uiPriority w:val="99"/>
    <w:rPr>
      <w:rFonts w:ascii="Times New Roman" w:hAnsi="Times New Roman" w:eastAsia="仿宋"/>
      <w:sz w:val="18"/>
      <w:szCs w:val="18"/>
    </w:rPr>
  </w:style>
  <w:style w:type="character" w:customStyle="1" w:styleId="29">
    <w:name w:val="页脚 字符"/>
    <w:basedOn w:val="18"/>
    <w:link w:val="10"/>
    <w:qFormat/>
    <w:uiPriority w:val="99"/>
    <w:rPr>
      <w:rFonts w:ascii="Times New Roman" w:hAnsi="Times New Roman" w:eastAsia="仿宋"/>
      <w:sz w:val="18"/>
      <w:szCs w:val="18"/>
    </w:rPr>
  </w:style>
  <w:style w:type="character" w:customStyle="1" w:styleId="30">
    <w:name w:val="批注文字 字符"/>
    <w:basedOn w:val="18"/>
    <w:link w:val="5"/>
    <w:semiHidden/>
    <w:qFormat/>
    <w:uiPriority w:val="99"/>
    <w:rPr>
      <w:rFonts w:ascii="Times New Roman" w:hAnsi="Times New Roman" w:eastAsia="仿宋"/>
      <w:sz w:val="30"/>
    </w:rPr>
  </w:style>
  <w:style w:type="character" w:customStyle="1" w:styleId="31">
    <w:name w:val="批注主题 字符"/>
    <w:basedOn w:val="30"/>
    <w:link w:val="15"/>
    <w:semiHidden/>
    <w:qFormat/>
    <w:uiPriority w:val="99"/>
    <w:rPr>
      <w:rFonts w:ascii="Times New Roman" w:hAnsi="Times New Roman" w:eastAsia="仿宋"/>
      <w:b/>
      <w:bCs/>
      <w:sz w:val="30"/>
    </w:rPr>
  </w:style>
  <w:style w:type="paragraph" w:customStyle="1" w:styleId="32">
    <w:name w:val="TOC 标题1"/>
    <w:basedOn w:val="3"/>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2F5597" w:themeColor="accent1" w:themeShade="BF"/>
      <w:kern w:val="0"/>
      <w:szCs w:val="32"/>
    </w:rPr>
  </w:style>
  <w:style w:type="paragraph" w:customStyle="1" w:styleId="33">
    <w:name w:val="Revision"/>
    <w:hidden/>
    <w:semiHidden/>
    <w:qFormat/>
    <w:uiPriority w:val="99"/>
    <w:rPr>
      <w:rFonts w:ascii="Times New Roman" w:hAnsi="Times New Roman" w:eastAsia="仿宋" w:cstheme="minorBidi"/>
      <w:kern w:val="2"/>
      <w:sz w:val="30"/>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emf"/><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3000</Words>
  <Characters>17102</Characters>
  <Lines>142</Lines>
  <Paragraphs>40</Paragraphs>
  <TotalTime>3</TotalTime>
  <ScaleCrop>false</ScaleCrop>
  <LinksUpToDate>false</LinksUpToDate>
  <CharactersWithSpaces>20062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2019-09-30T21:30:00Z</dcterms:created>
  <dc:creator>X P</dc:creator>
  <cp:lastModifiedBy>蒋梦捷</cp:lastModifiedBy>
  <dcterms:modified xsi:type="dcterms:W3CDTF">2022-11-02T11:05:41Z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C18E8345218FB89EBAFD2B6394ED849B</vt:lpwstr>
  </property>
</Properties>
</file>